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84E50" w:rsidRDefault="00384E50">
      <w:pPr>
        <w:divId w:val="1869483211"/>
        <w:rPr>
          <w:rFonts w:ascii="Arial" w:eastAsia="Times New Roman" w:hAnsi="Arial" w:cs="Arial"/>
          <w:b/>
          <w:bCs/>
          <w:color w:val="022A4C"/>
          <w:sz w:val="15"/>
          <w:szCs w:val="15"/>
        </w:rPr>
      </w:pPr>
      <w:r>
        <w:rPr>
          <w:rFonts w:ascii="Arial" w:eastAsia="Times New Roman" w:hAnsi="Arial" w:cs="Arial"/>
          <w:b/>
          <w:bCs/>
          <w:color w:val="022A4C"/>
          <w:sz w:val="15"/>
          <w:szCs w:val="15"/>
        </w:rPr>
        <w:t>NOTICE</w:t>
      </w:r>
    </w:p>
    <w:p w:rsidR="00384E50" w:rsidRDefault="00384E50">
      <w:pPr>
        <w:jc w:val="both"/>
        <w:textAlignment w:val="center"/>
        <w:divId w:val="1118372404"/>
        <w:rPr>
          <w:rFonts w:ascii="Arial" w:eastAsia="Times New Roman" w:hAnsi="Arial" w:cs="Arial"/>
          <w:color w:val="022A4C"/>
          <w:sz w:val="15"/>
          <w:szCs w:val="15"/>
        </w:rPr>
      </w:pPr>
      <w:r>
        <w:rPr>
          <w:rFonts w:ascii="Arial" w:eastAsia="Times New Roman" w:hAnsi="Arial" w:cs="Arial"/>
          <w:color w:val="022A4C"/>
          <w:sz w:val="15"/>
          <w:szCs w:val="15"/>
        </w:rPr>
        <w:t xml:space="preserve">DISCLAIMER. The information contained in this publication is subject to constant review in the light of changing government </w:t>
      </w:r>
      <w:r>
        <w:rPr>
          <w:rFonts w:ascii="Arial" w:eastAsia="Times New Roman" w:hAnsi="Arial" w:cs="Arial"/>
          <w:color w:val="022A4C"/>
          <w:sz w:val="15"/>
          <w:szCs w:val="15"/>
        </w:rPr>
        <w:t>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5"/>
          <w:szCs w:val="15"/>
        </w:rPr>
        <w:t xml:space="preserve">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384E50" w:rsidRDefault="00384E50">
      <w:pPr>
        <w:jc w:val="both"/>
        <w:textAlignment w:val="center"/>
        <w:divId w:val="2075617442"/>
        <w:rPr>
          <w:rFonts w:ascii="Arial" w:eastAsia="Times New Roman" w:hAnsi="Arial" w:cs="Arial"/>
          <w:color w:val="022A4C"/>
          <w:sz w:val="15"/>
          <w:szCs w:val="15"/>
        </w:rPr>
      </w:pPr>
      <w:r>
        <w:rPr>
          <w:rFonts w:ascii="Arial" w:eastAsia="Times New Roman" w:hAnsi="Arial"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384E50" w:rsidRDefault="00384E50">
      <w:pPr>
        <w:jc w:val="center"/>
        <w:textAlignment w:val="center"/>
        <w:divId w:val="32311947"/>
        <w:rPr>
          <w:rFonts w:ascii="Arial" w:eastAsia="Times New Roman" w:hAnsi="Arial" w:cs="Arial"/>
          <w:color w:val="022A4C"/>
          <w:sz w:val="15"/>
          <w:szCs w:val="15"/>
        </w:rPr>
      </w:pPr>
      <w:r>
        <w:rPr>
          <w:rFonts w:ascii="Arial" w:eastAsia="Times New Roman" w:hAnsi="Arial" w:cs="Arial"/>
          <w:color w:val="022A4C"/>
          <w:sz w:val="15"/>
          <w:szCs w:val="15"/>
        </w:rPr>
        <w:t>Senior Vice President</w:t>
      </w:r>
    </w:p>
    <w:p w:rsidR="00384E50" w:rsidRDefault="00384E50">
      <w:pPr>
        <w:jc w:val="center"/>
        <w:textAlignment w:val="center"/>
        <w:divId w:val="1967731992"/>
        <w:rPr>
          <w:rFonts w:ascii="Arial" w:eastAsia="Times New Roman" w:hAnsi="Arial" w:cs="Arial"/>
          <w:color w:val="022A4C"/>
          <w:sz w:val="15"/>
          <w:szCs w:val="15"/>
        </w:rPr>
      </w:pPr>
      <w:r>
        <w:rPr>
          <w:rFonts w:ascii="Arial" w:eastAsia="Times New Roman" w:hAnsi="Arial" w:cs="Arial"/>
          <w:color w:val="022A4C"/>
          <w:sz w:val="15"/>
          <w:szCs w:val="15"/>
        </w:rPr>
        <w:t>Operations, Safety and Security</w:t>
      </w:r>
    </w:p>
    <w:p w:rsidR="00384E50" w:rsidRDefault="00384E50">
      <w:pPr>
        <w:jc w:val="center"/>
        <w:textAlignment w:val="center"/>
        <w:divId w:val="11804854"/>
        <w:rPr>
          <w:rFonts w:ascii="Arial" w:eastAsia="Times New Roman" w:hAnsi="Arial" w:cs="Arial"/>
          <w:color w:val="022A4C"/>
          <w:sz w:val="15"/>
          <w:szCs w:val="15"/>
        </w:rPr>
      </w:pPr>
      <w:r>
        <w:rPr>
          <w:rFonts w:ascii="Arial" w:eastAsia="Times New Roman" w:hAnsi="Arial" w:cs="Arial"/>
          <w:color w:val="022A4C"/>
          <w:sz w:val="15"/>
          <w:szCs w:val="15"/>
        </w:rPr>
        <w:t>International Air Transport Association</w:t>
      </w:r>
    </w:p>
    <w:p w:rsidR="00384E50" w:rsidRDefault="00384E50">
      <w:pPr>
        <w:jc w:val="center"/>
        <w:textAlignment w:val="center"/>
        <w:divId w:val="263341701"/>
        <w:rPr>
          <w:rFonts w:ascii="Arial" w:eastAsia="Times New Roman" w:hAnsi="Arial" w:cs="Arial"/>
          <w:color w:val="022A4C"/>
          <w:sz w:val="15"/>
          <w:szCs w:val="15"/>
        </w:rPr>
      </w:pPr>
      <w:r>
        <w:rPr>
          <w:rFonts w:ascii="Arial" w:eastAsia="Times New Roman" w:hAnsi="Arial" w:cs="Arial"/>
          <w:color w:val="022A4C"/>
          <w:sz w:val="15"/>
          <w:szCs w:val="15"/>
        </w:rPr>
        <w:t>800 Place Victoria</w:t>
      </w:r>
    </w:p>
    <w:p w:rsidR="00384E50" w:rsidRDefault="00384E50">
      <w:pPr>
        <w:jc w:val="center"/>
        <w:textAlignment w:val="center"/>
        <w:divId w:val="1983583929"/>
        <w:rPr>
          <w:rFonts w:ascii="Arial" w:eastAsia="Times New Roman" w:hAnsi="Arial" w:cs="Arial"/>
          <w:color w:val="022A4C"/>
          <w:sz w:val="15"/>
          <w:szCs w:val="15"/>
        </w:rPr>
      </w:pPr>
      <w:r>
        <w:rPr>
          <w:rFonts w:ascii="Arial" w:eastAsia="Times New Roman" w:hAnsi="Arial" w:cs="Arial"/>
          <w:color w:val="022A4C"/>
          <w:sz w:val="15"/>
          <w:szCs w:val="15"/>
        </w:rPr>
        <w:t>P.O. Box 113</w:t>
      </w:r>
    </w:p>
    <w:p w:rsidR="00384E50" w:rsidRDefault="00384E50">
      <w:pPr>
        <w:jc w:val="center"/>
        <w:textAlignment w:val="center"/>
        <w:divId w:val="1359045882"/>
        <w:rPr>
          <w:rFonts w:ascii="Arial" w:eastAsia="Times New Roman" w:hAnsi="Arial" w:cs="Arial"/>
          <w:color w:val="022A4C"/>
          <w:sz w:val="15"/>
          <w:szCs w:val="15"/>
        </w:rPr>
      </w:pPr>
      <w:r>
        <w:rPr>
          <w:rFonts w:ascii="Arial" w:eastAsia="Times New Roman" w:hAnsi="Arial" w:cs="Arial"/>
          <w:color w:val="022A4C"/>
          <w:sz w:val="15"/>
          <w:szCs w:val="15"/>
        </w:rPr>
        <w:t>Montreal, Quebec</w:t>
      </w:r>
    </w:p>
    <w:p w:rsidR="00384E50" w:rsidRDefault="00384E50">
      <w:pPr>
        <w:jc w:val="center"/>
        <w:textAlignment w:val="center"/>
        <w:divId w:val="1839419073"/>
        <w:rPr>
          <w:rFonts w:ascii="Arial" w:eastAsia="Times New Roman" w:hAnsi="Arial" w:cs="Arial"/>
          <w:color w:val="022A4C"/>
          <w:sz w:val="15"/>
          <w:szCs w:val="15"/>
        </w:rPr>
      </w:pPr>
      <w:r>
        <w:rPr>
          <w:rFonts w:ascii="Arial" w:eastAsia="Times New Roman" w:hAnsi="Arial" w:cs="Arial"/>
          <w:color w:val="022A4C"/>
          <w:sz w:val="15"/>
          <w:szCs w:val="15"/>
        </w:rPr>
        <w:t>CANADA H4Z 1M1</w:t>
      </w:r>
    </w:p>
    <w:p w:rsidR="00384E50" w:rsidRDefault="00384E50">
      <w:pPr>
        <w:divId w:val="1910263662"/>
        <w:rPr>
          <w:rFonts w:ascii="Arial" w:eastAsia="Times New Roman" w:hAnsi="Arial" w:cs="Arial"/>
          <w:color w:val="022A4C"/>
          <w:sz w:val="18"/>
          <w:szCs w:val="18"/>
        </w:rPr>
      </w:pPr>
      <w:r>
        <w:rPr>
          <w:rStyle w:val="iatatitle1"/>
          <w:rFonts w:ascii="Arial" w:eastAsia="Times New Roman" w:hAnsi="Arial" w:cs="Arial"/>
          <w:color w:val="022A4C"/>
          <w:sz w:val="18"/>
          <w:szCs w:val="18"/>
        </w:rPr>
        <w:t>IOSA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 Edition 9</w:t>
      </w:r>
    </w:p>
    <w:p w:rsidR="00384E50" w:rsidRDefault="00384E50">
      <w:pPr>
        <w:divId w:val="307245422"/>
        <w:rPr>
          <w:rFonts w:ascii="Arial" w:eastAsia="Times New Roman" w:hAnsi="Arial" w:cs="Arial"/>
          <w:color w:val="022A4C"/>
          <w:sz w:val="18"/>
          <w:szCs w:val="18"/>
        </w:rPr>
      </w:pPr>
      <w:r>
        <w:rPr>
          <w:rStyle w:val="iatadate1"/>
          <w:rFonts w:ascii="Arial" w:eastAsia="Times New Roman" w:hAnsi="Arial" w:cs="Arial"/>
          <w:color w:val="022A4C"/>
          <w:sz w:val="18"/>
          <w:szCs w:val="18"/>
        </w:rPr>
        <w:t xml:space="preserve">© 2025 </w:t>
      </w:r>
      <w:r>
        <w:rPr>
          <w:rStyle w:val="iatacopyrightedbyname"/>
          <w:rFonts w:ascii="Arial" w:eastAsia="Times New Roman" w:hAnsi="Arial" w:cs="Arial"/>
          <w:color w:val="022A4C"/>
          <w:sz w:val="18"/>
          <w:szCs w:val="18"/>
        </w:rPr>
        <w:t xml:space="preserve">International Air Transport Association. </w:t>
      </w:r>
      <w:r>
        <w:rPr>
          <w:rStyle w:val="iatapublishersrights"/>
          <w:rFonts w:ascii="Arial" w:eastAsia="Times New Roman" w:hAnsi="Arial" w:cs="Arial"/>
          <w:color w:val="022A4C"/>
          <w:sz w:val="18"/>
          <w:szCs w:val="18"/>
        </w:rPr>
        <w:t>All rights reserved.</w:t>
      </w:r>
    </w:p>
    <w:p w:rsidR="00384E50" w:rsidRDefault="00384E50">
      <w:pPr>
        <w:divId w:val="1910263662"/>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384E50" w:rsidRDefault="00384E50">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384E50" w:rsidRDefault="00384E50">
      <w:pPr>
        <w:rPr>
          <w:rFonts w:ascii="Arial" w:eastAsia="Times New Roman" w:hAnsi="Arial" w:cs="Arial"/>
          <w:color w:val="022A4C"/>
          <w:sz w:val="18"/>
          <w:szCs w:val="18"/>
        </w:rPr>
      </w:pPr>
    </w:p>
    <w:p w:rsidR="00384E50" w:rsidRDefault="00384E50" w:rsidP="00384E50">
      <w:pPr>
        <w:pStyle w:val="Heading1"/>
        <w:shd w:val="clear" w:color="auto" w:fill="CCCCCC"/>
        <w:spacing w:before="0" w:beforeAutospacing="0" w:after="0" w:afterAutospacing="0"/>
        <w:ind w:left="-108" w:right="-101"/>
        <w:divId w:val="1706709421"/>
        <w:rPr>
          <w:rFonts w:ascii="Arial" w:eastAsia="Times New Roman" w:hAnsi="Arial" w:cs="Arial"/>
          <w:color w:val="000000"/>
          <w:sz w:val="29"/>
          <w:szCs w:val="29"/>
        </w:rPr>
      </w:pPr>
      <w:r>
        <w:rPr>
          <w:rFonts w:ascii="Arial" w:eastAsia="Times New Roman" w:hAnsi="Arial" w:cs="Arial"/>
          <w:color w:val="000000"/>
          <w:sz w:val="29"/>
          <w:szCs w:val="29"/>
        </w:rPr>
        <w:t>Introduction</w:t>
      </w:r>
    </w:p>
    <w:p w:rsidR="00384E50" w:rsidRDefault="00384E50" w:rsidP="00384E50">
      <w:pPr>
        <w:pStyle w:val="Heading2"/>
        <w:shd w:val="clear" w:color="auto" w:fill="1E32FA"/>
        <w:spacing w:after="0" w:afterAutospacing="0"/>
        <w:ind w:left="-50" w:right="-36"/>
        <w:divId w:val="209078129"/>
        <w:rPr>
          <w:rFonts w:ascii="Arial" w:eastAsia="Times New Roman" w:hAnsi="Arial" w:cs="Arial"/>
          <w:color w:val="FFFFFF"/>
          <w:sz w:val="25"/>
          <w:szCs w:val="25"/>
        </w:rPr>
      </w:pPr>
      <w:r>
        <w:rPr>
          <w:rFonts w:ascii="Arial" w:eastAsia="Times New Roman" w:hAnsi="Arial" w:cs="Arial"/>
          <w:color w:val="FFFFFF"/>
          <w:sz w:val="25"/>
          <w:szCs w:val="25"/>
        </w:rPr>
        <w:t>1 Purpose</w:t>
      </w:r>
    </w:p>
    <w:p w:rsidR="00384E50" w:rsidRDefault="00384E50">
      <w:pPr>
        <w:divId w:val="209078129"/>
        <w:rPr>
          <w:rFonts w:ascii="Arial" w:eastAsia="Times New Roman" w:hAnsi="Arial" w:cs="Arial"/>
          <w:color w:val="022A4C"/>
          <w:sz w:val="18"/>
          <w:szCs w:val="18"/>
        </w:rPr>
      </w:pPr>
    </w:p>
    <w:p w:rsidR="00384E50" w:rsidRDefault="00384E50">
      <w:pPr>
        <w:divId w:val="311951642"/>
        <w:rPr>
          <w:rFonts w:ascii="Arial" w:eastAsia="Times New Roman" w:hAnsi="Arial" w:cs="Arial"/>
          <w:color w:val="022A4C"/>
          <w:sz w:val="18"/>
          <w:szCs w:val="18"/>
        </w:rPr>
      </w:pPr>
      <w:r>
        <w:rPr>
          <w:rFonts w:ascii="Arial" w:eastAsia="Times New Roman" w:hAnsi="Arial" w:cs="Arial"/>
          <w:color w:val="022A4C"/>
          <w:sz w:val="18"/>
          <w:szCs w:val="18"/>
        </w:rPr>
        <w:t xml:space="preserve">The ISSA Standards Manual (ISSM) Part I - Aeroplanes is published in order to provide the standards, recommended practices (ISARPs), associated guidance material and other supporting information necessary for an operator to successfully prepare for an assessment. </w:t>
      </w:r>
    </w:p>
    <w:p w:rsidR="00384E50" w:rsidRDefault="00384E50">
      <w:pPr>
        <w:divId w:val="1032611801"/>
        <w:rPr>
          <w:rFonts w:ascii="Arial" w:eastAsia="Times New Roman" w:hAnsi="Arial" w:cs="Arial"/>
          <w:color w:val="022A4C"/>
          <w:sz w:val="18"/>
          <w:szCs w:val="18"/>
        </w:rPr>
      </w:pPr>
      <w:r>
        <w:rPr>
          <w:rStyle w:val="iatasidemarks1"/>
          <w:rFonts w:eastAsia="Times New Roman" w:cs="Arial"/>
          <w:color w:val="022A4C"/>
          <w:sz w:val="18"/>
          <w:szCs w:val="18"/>
        </w:rPr>
        <w:t xml:space="preserve"> </w:t>
      </w:r>
      <w:r>
        <w:rPr>
          <w:rFonts w:ascii="Arial" w:eastAsia="Times New Roman" w:hAnsi="Arial" w:cs="Arial"/>
          <w:color w:val="022A4C"/>
          <w:sz w:val="18"/>
          <w:szCs w:val="18"/>
        </w:rPr>
        <w:t xml:space="preserve">ISSA Standard Manual (ISSM) Part I - Aeroplanes Edition 9 has been approved by Head, IOSA. </w:t>
      </w:r>
    </w:p>
    <w:p w:rsidR="00384E50" w:rsidRDefault="00384E50">
      <w:pPr>
        <w:divId w:val="222298904"/>
        <w:rPr>
          <w:rFonts w:ascii="Arial" w:eastAsia="Times New Roman" w:hAnsi="Arial" w:cs="Arial"/>
          <w:color w:val="022A4C"/>
          <w:sz w:val="18"/>
          <w:szCs w:val="18"/>
        </w:rPr>
      </w:pPr>
      <w:r>
        <w:rPr>
          <w:rFonts w:ascii="Arial" w:eastAsia="Times New Roman" w:hAnsi="Arial" w:cs="Arial"/>
          <w:color w:val="022A4C"/>
          <w:sz w:val="18"/>
          <w:szCs w:val="18"/>
        </w:rPr>
        <w:t xml:space="preserve">The ISSM Part I may also be used as a guide for any operator desiring to structure its operational management and control systems in conformity with the latest industry operational practices. </w:t>
      </w:r>
    </w:p>
    <w:p w:rsidR="00384E50" w:rsidRDefault="00384E50">
      <w:pPr>
        <w:divId w:val="990060550"/>
        <w:rPr>
          <w:rFonts w:ascii="Arial" w:eastAsia="Times New Roman" w:hAnsi="Arial" w:cs="Arial"/>
          <w:color w:val="022A4C"/>
          <w:sz w:val="18"/>
          <w:szCs w:val="18"/>
        </w:rPr>
      </w:pPr>
      <w:r>
        <w:rPr>
          <w:rFonts w:ascii="Arial" w:eastAsia="Times New Roman" w:hAnsi="Arial" w:cs="Arial"/>
          <w:color w:val="022A4C"/>
          <w:sz w:val="18"/>
          <w:szCs w:val="18"/>
        </w:rPr>
        <w:t xml:space="preserve">The ISSM Part I is the sole source of assessment criteria to be utilized by auditors when conducting an assessment against the ISARPs. </w:t>
      </w:r>
    </w:p>
    <w:p w:rsidR="00384E50" w:rsidRDefault="00384E50" w:rsidP="00384E50">
      <w:pPr>
        <w:pStyle w:val="Heading2"/>
        <w:shd w:val="clear" w:color="auto" w:fill="1E32FA"/>
        <w:spacing w:after="0" w:afterAutospacing="0"/>
        <w:ind w:left="-50" w:right="-36"/>
        <w:divId w:val="134565655"/>
        <w:rPr>
          <w:rFonts w:ascii="Arial" w:eastAsia="Times New Roman" w:hAnsi="Arial" w:cs="Arial"/>
          <w:color w:val="FFFFFF"/>
          <w:sz w:val="25"/>
          <w:szCs w:val="25"/>
        </w:rPr>
      </w:pPr>
      <w:r>
        <w:rPr>
          <w:rFonts w:ascii="Arial" w:eastAsia="Times New Roman" w:hAnsi="Arial" w:cs="Arial"/>
          <w:color w:val="FFFFFF"/>
          <w:sz w:val="25"/>
          <w:szCs w:val="25"/>
        </w:rPr>
        <w:t>2 Structure</w:t>
      </w:r>
    </w:p>
    <w:p w:rsidR="00384E50" w:rsidRDefault="00384E50">
      <w:pPr>
        <w:divId w:val="134565655"/>
        <w:rPr>
          <w:rFonts w:ascii="Arial" w:eastAsia="Times New Roman" w:hAnsi="Arial" w:cs="Arial"/>
          <w:color w:val="022A4C"/>
          <w:sz w:val="18"/>
          <w:szCs w:val="18"/>
        </w:rPr>
      </w:pPr>
    </w:p>
    <w:p w:rsidR="00384E50" w:rsidRDefault="00384E50">
      <w:pPr>
        <w:divId w:val="1568110698"/>
        <w:rPr>
          <w:rFonts w:ascii="Arial" w:eastAsia="Times New Roman" w:hAnsi="Arial" w:cs="Arial"/>
          <w:color w:val="022A4C"/>
          <w:sz w:val="18"/>
          <w:szCs w:val="18"/>
        </w:rPr>
      </w:pPr>
      <w:r>
        <w:rPr>
          <w:rFonts w:ascii="Arial" w:eastAsia="Times New Roman" w:hAnsi="Arial" w:cs="Arial"/>
          <w:color w:val="022A4C"/>
          <w:sz w:val="18"/>
          <w:szCs w:val="18"/>
        </w:rPr>
        <w:t xml:space="preserve">The ISSM is organized as follows: </w:t>
      </w:r>
    </w:p>
    <w:p w:rsidR="00384E50" w:rsidRDefault="00384E50">
      <w:pPr>
        <w:pStyle w:val="iatalistitem"/>
        <w:numPr>
          <w:ilvl w:val="0"/>
          <w:numId w:val="1"/>
        </w:numPr>
        <w:divId w:val="1568110698"/>
        <w:rPr>
          <w:rFonts w:ascii="Arial" w:eastAsia="Times New Roman" w:hAnsi="Arial" w:cs="Arial"/>
          <w:color w:val="022A4C"/>
          <w:sz w:val="18"/>
          <w:szCs w:val="18"/>
        </w:rPr>
      </w:pPr>
      <w:r>
        <w:rPr>
          <w:rFonts w:ascii="Arial" w:eastAsia="Times New Roman" w:hAnsi="Arial" w:cs="Arial"/>
          <w:color w:val="022A4C"/>
          <w:sz w:val="18"/>
          <w:szCs w:val="18"/>
        </w:rPr>
        <w:t>Section 1 → Organization and Management System (ORG);</w:t>
      </w:r>
    </w:p>
    <w:p w:rsidR="00384E50" w:rsidRDefault="00384E50">
      <w:pPr>
        <w:pStyle w:val="iatalistitem"/>
        <w:numPr>
          <w:ilvl w:val="0"/>
          <w:numId w:val="1"/>
        </w:numPr>
        <w:divId w:val="1568110698"/>
        <w:rPr>
          <w:rFonts w:ascii="Arial" w:eastAsia="Times New Roman" w:hAnsi="Arial" w:cs="Arial"/>
          <w:color w:val="022A4C"/>
          <w:sz w:val="18"/>
          <w:szCs w:val="18"/>
        </w:rPr>
      </w:pPr>
      <w:r>
        <w:rPr>
          <w:rFonts w:ascii="Arial" w:eastAsia="Times New Roman" w:hAnsi="Arial" w:cs="Arial"/>
          <w:color w:val="022A4C"/>
          <w:sz w:val="18"/>
          <w:szCs w:val="18"/>
        </w:rPr>
        <w:t>Section 2 → Flight Operations (FLT);</w:t>
      </w:r>
    </w:p>
    <w:p w:rsidR="00384E50" w:rsidRDefault="00384E50">
      <w:pPr>
        <w:pStyle w:val="iatalistitem"/>
        <w:numPr>
          <w:ilvl w:val="0"/>
          <w:numId w:val="1"/>
        </w:numPr>
        <w:divId w:val="1568110698"/>
        <w:rPr>
          <w:rFonts w:ascii="Arial" w:eastAsia="Times New Roman" w:hAnsi="Arial" w:cs="Arial"/>
          <w:color w:val="022A4C"/>
          <w:sz w:val="18"/>
          <w:szCs w:val="18"/>
        </w:rPr>
      </w:pPr>
      <w:r>
        <w:rPr>
          <w:rFonts w:ascii="Arial" w:eastAsia="Times New Roman" w:hAnsi="Arial" w:cs="Arial"/>
          <w:color w:val="022A4C"/>
          <w:sz w:val="18"/>
          <w:szCs w:val="18"/>
        </w:rPr>
        <w:t>Section 3 → Operational Control and Flight Dispatch (DSP);</w:t>
      </w:r>
    </w:p>
    <w:p w:rsidR="00384E50" w:rsidRDefault="00384E50">
      <w:pPr>
        <w:pStyle w:val="iatalistitem"/>
        <w:numPr>
          <w:ilvl w:val="0"/>
          <w:numId w:val="1"/>
        </w:numPr>
        <w:divId w:val="1568110698"/>
        <w:rPr>
          <w:rFonts w:ascii="Arial" w:eastAsia="Times New Roman" w:hAnsi="Arial" w:cs="Arial"/>
          <w:color w:val="022A4C"/>
          <w:sz w:val="18"/>
          <w:szCs w:val="18"/>
        </w:rPr>
      </w:pPr>
      <w:r>
        <w:rPr>
          <w:rFonts w:ascii="Arial" w:eastAsia="Times New Roman" w:hAnsi="Arial" w:cs="Arial"/>
          <w:color w:val="022A4C"/>
          <w:sz w:val="18"/>
          <w:szCs w:val="18"/>
        </w:rPr>
        <w:t>Section 4 → Aircraft Engineering and Maintenance (MNT);</w:t>
      </w:r>
    </w:p>
    <w:p w:rsidR="00384E50" w:rsidRDefault="00384E50">
      <w:pPr>
        <w:pStyle w:val="iatalistitem"/>
        <w:numPr>
          <w:ilvl w:val="0"/>
          <w:numId w:val="1"/>
        </w:numPr>
        <w:divId w:val="1568110698"/>
        <w:rPr>
          <w:rFonts w:ascii="Arial" w:eastAsia="Times New Roman" w:hAnsi="Arial" w:cs="Arial"/>
          <w:color w:val="022A4C"/>
          <w:sz w:val="18"/>
          <w:szCs w:val="18"/>
        </w:rPr>
      </w:pPr>
      <w:r>
        <w:rPr>
          <w:rFonts w:ascii="Arial" w:eastAsia="Times New Roman" w:hAnsi="Arial" w:cs="Arial"/>
          <w:color w:val="022A4C"/>
          <w:sz w:val="18"/>
          <w:szCs w:val="18"/>
        </w:rPr>
        <w:t>Section 5 → Cabin Operations (CAB);</w:t>
      </w:r>
    </w:p>
    <w:p w:rsidR="00384E50" w:rsidRDefault="00384E50">
      <w:pPr>
        <w:pStyle w:val="iatalistitem"/>
        <w:numPr>
          <w:ilvl w:val="0"/>
          <w:numId w:val="1"/>
        </w:numPr>
        <w:divId w:val="1568110698"/>
        <w:rPr>
          <w:rFonts w:ascii="Arial" w:eastAsia="Times New Roman" w:hAnsi="Arial" w:cs="Arial"/>
          <w:color w:val="022A4C"/>
          <w:sz w:val="18"/>
          <w:szCs w:val="18"/>
        </w:rPr>
      </w:pPr>
      <w:r>
        <w:rPr>
          <w:rFonts w:ascii="Arial" w:eastAsia="Times New Roman" w:hAnsi="Arial" w:cs="Arial"/>
          <w:color w:val="022A4C"/>
          <w:sz w:val="18"/>
          <w:szCs w:val="18"/>
        </w:rPr>
        <w:t>Section 6 → Ground Handling Operations (GRH);</w:t>
      </w:r>
    </w:p>
    <w:p w:rsidR="00384E50" w:rsidRDefault="00384E50">
      <w:pPr>
        <w:pStyle w:val="iatalistitem"/>
        <w:numPr>
          <w:ilvl w:val="0"/>
          <w:numId w:val="1"/>
        </w:numPr>
        <w:divId w:val="1568110698"/>
        <w:rPr>
          <w:rFonts w:ascii="Arial" w:eastAsia="Times New Roman" w:hAnsi="Arial" w:cs="Arial"/>
          <w:color w:val="022A4C"/>
          <w:sz w:val="18"/>
          <w:szCs w:val="18"/>
        </w:rPr>
      </w:pPr>
      <w:r>
        <w:rPr>
          <w:rFonts w:ascii="Arial" w:eastAsia="Times New Roman" w:hAnsi="Arial" w:cs="Arial"/>
          <w:color w:val="022A4C"/>
          <w:sz w:val="18"/>
          <w:szCs w:val="18"/>
        </w:rPr>
        <w:t>Section 7 → Cargo Operations (CGO);</w:t>
      </w:r>
    </w:p>
    <w:p w:rsidR="00384E50" w:rsidRDefault="00384E50">
      <w:pPr>
        <w:pStyle w:val="iatalistitem"/>
        <w:numPr>
          <w:ilvl w:val="0"/>
          <w:numId w:val="1"/>
        </w:numPr>
        <w:divId w:val="1568110698"/>
        <w:rPr>
          <w:rFonts w:ascii="Arial" w:eastAsia="Times New Roman" w:hAnsi="Arial" w:cs="Arial"/>
          <w:color w:val="022A4C"/>
          <w:sz w:val="18"/>
          <w:szCs w:val="18"/>
        </w:rPr>
      </w:pPr>
      <w:r>
        <w:rPr>
          <w:rFonts w:ascii="Arial" w:eastAsia="Times New Roman" w:hAnsi="Arial" w:cs="Arial"/>
          <w:color w:val="022A4C"/>
          <w:sz w:val="18"/>
          <w:szCs w:val="18"/>
        </w:rPr>
        <w:t>Section 8 → Security Management (SEC).</w:t>
      </w:r>
    </w:p>
    <w:p w:rsidR="00384E50" w:rsidRDefault="00384E50">
      <w:pPr>
        <w:divId w:val="349988021"/>
        <w:rPr>
          <w:rFonts w:ascii="Arial" w:eastAsia="Times New Roman" w:hAnsi="Arial" w:cs="Arial"/>
          <w:color w:val="022A4C"/>
          <w:sz w:val="18"/>
          <w:szCs w:val="18"/>
        </w:rPr>
      </w:pPr>
      <w:r>
        <w:rPr>
          <w:rFonts w:ascii="Arial" w:eastAsia="Times New Roman" w:hAnsi="Arial" w:cs="Arial"/>
          <w:color w:val="022A4C"/>
          <w:sz w:val="18"/>
          <w:szCs w:val="18"/>
        </w:rPr>
        <w:t xml:space="preserve">Each section in this Manual has been assigned an associated 3 - letter identifier (in parentheses above). The reference number for every standard or recommended practice within a section will include the specific 3 - letter identifier for that section. </w:t>
      </w:r>
    </w:p>
    <w:p w:rsidR="00384E50" w:rsidRDefault="00384E50" w:rsidP="00384E50">
      <w:pPr>
        <w:pStyle w:val="Heading2"/>
        <w:shd w:val="clear" w:color="auto" w:fill="1E32FA"/>
        <w:spacing w:after="0" w:afterAutospacing="0"/>
        <w:ind w:left="-50" w:right="-36"/>
        <w:divId w:val="733506433"/>
        <w:rPr>
          <w:rFonts w:ascii="Arial" w:eastAsia="Times New Roman" w:hAnsi="Arial" w:cs="Arial"/>
          <w:color w:val="FFFFFF"/>
          <w:sz w:val="25"/>
          <w:szCs w:val="25"/>
        </w:rPr>
      </w:pPr>
      <w:r>
        <w:rPr>
          <w:rFonts w:ascii="Arial" w:eastAsia="Times New Roman" w:hAnsi="Arial" w:cs="Arial"/>
          <w:color w:val="FFFFFF"/>
          <w:sz w:val="25"/>
          <w:szCs w:val="25"/>
        </w:rPr>
        <w:t>3 Sources for ISSM Part I Standards and Recommended Practices (ISARPs)</w:t>
      </w:r>
    </w:p>
    <w:p w:rsidR="00384E50" w:rsidRDefault="00384E50">
      <w:pPr>
        <w:divId w:val="733506433"/>
        <w:rPr>
          <w:rFonts w:ascii="Arial" w:eastAsia="Times New Roman" w:hAnsi="Arial" w:cs="Arial"/>
          <w:color w:val="022A4C"/>
          <w:sz w:val="18"/>
          <w:szCs w:val="18"/>
        </w:rPr>
      </w:pPr>
    </w:p>
    <w:p w:rsidR="00384E50" w:rsidRDefault="00384E50">
      <w:pPr>
        <w:divId w:val="914363494"/>
        <w:rPr>
          <w:rFonts w:ascii="Arial" w:eastAsia="Times New Roman" w:hAnsi="Arial" w:cs="Arial"/>
          <w:color w:val="022A4C"/>
          <w:sz w:val="18"/>
          <w:szCs w:val="18"/>
        </w:rPr>
      </w:pPr>
      <w:r>
        <w:rPr>
          <w:rFonts w:ascii="Arial" w:eastAsia="Times New Roman" w:hAnsi="Arial" w:cs="Arial"/>
          <w:color w:val="022A4C"/>
          <w:sz w:val="18"/>
          <w:szCs w:val="18"/>
        </w:rPr>
        <w:t xml:space="preserve">The safety and security requirements published in the Annexes to the Convention on International Civil Aviation (ICAO Annexes) are the primary source for specifications contained the ISARPs. Safety and security requirements in the ICAO Annexes used as the basis for ISARPs are those that are applicable either directly or indirectly to the air operator. </w:t>
      </w:r>
    </w:p>
    <w:p w:rsidR="00384E50" w:rsidRDefault="00384E50" w:rsidP="00384E50">
      <w:pPr>
        <w:pStyle w:val="Heading2"/>
        <w:shd w:val="clear" w:color="auto" w:fill="1E32FA"/>
        <w:spacing w:after="0" w:afterAutospacing="0"/>
        <w:ind w:left="-50" w:right="-36"/>
        <w:divId w:val="1534539505"/>
        <w:rPr>
          <w:rFonts w:ascii="Arial" w:eastAsia="Times New Roman" w:hAnsi="Arial" w:cs="Arial"/>
          <w:color w:val="FFFFFF"/>
          <w:sz w:val="25"/>
          <w:szCs w:val="25"/>
        </w:rPr>
      </w:pPr>
      <w:r>
        <w:rPr>
          <w:rFonts w:ascii="Arial" w:eastAsia="Times New Roman" w:hAnsi="Arial" w:cs="Arial"/>
          <w:color w:val="FFFFFF"/>
          <w:sz w:val="25"/>
          <w:szCs w:val="25"/>
        </w:rPr>
        <w:t>4 Applicability of ISARPs</w:t>
      </w:r>
    </w:p>
    <w:p w:rsidR="00384E50" w:rsidRDefault="00384E50">
      <w:pPr>
        <w:divId w:val="1534539505"/>
        <w:rPr>
          <w:rFonts w:ascii="Arial" w:eastAsia="Times New Roman" w:hAnsi="Arial" w:cs="Arial"/>
          <w:color w:val="022A4C"/>
          <w:sz w:val="18"/>
          <w:szCs w:val="18"/>
        </w:rPr>
      </w:pPr>
    </w:p>
    <w:p w:rsidR="00384E50" w:rsidRDefault="00384E50">
      <w:pPr>
        <w:divId w:val="1848403140"/>
        <w:rPr>
          <w:rFonts w:ascii="Arial" w:eastAsia="Times New Roman" w:hAnsi="Arial" w:cs="Arial"/>
          <w:color w:val="022A4C"/>
          <w:sz w:val="18"/>
          <w:szCs w:val="18"/>
        </w:rPr>
      </w:pPr>
      <w:r>
        <w:rPr>
          <w:rFonts w:ascii="Arial" w:eastAsia="Times New Roman" w:hAnsi="Arial" w:cs="Arial"/>
          <w:b/>
          <w:bCs/>
          <w:i/>
          <w:iCs/>
          <w:color w:val="022A4C"/>
          <w:sz w:val="18"/>
          <w:szCs w:val="18"/>
        </w:rPr>
        <w:t>Applicability Guidance</w:t>
      </w:r>
    </w:p>
    <w:p w:rsidR="00384E50" w:rsidRDefault="00384E50">
      <w:pPr>
        <w:divId w:val="1561280607"/>
        <w:rPr>
          <w:rFonts w:ascii="Arial" w:eastAsia="Times New Roman" w:hAnsi="Arial" w:cs="Arial"/>
          <w:color w:val="022A4C"/>
          <w:sz w:val="18"/>
          <w:szCs w:val="18"/>
        </w:rPr>
      </w:pPr>
      <w:r>
        <w:rPr>
          <w:rFonts w:ascii="Arial" w:eastAsia="Times New Roman" w:hAnsi="Arial" w:cs="Arial"/>
          <w:color w:val="022A4C"/>
          <w:sz w:val="18"/>
          <w:szCs w:val="18"/>
        </w:rPr>
        <w:t xml:space="preserve">To provide guidance to the operators, an Applicability box is found at the beginning of each section of this manual. Within the box is a general description of the applicability of the ISARPs contained in the section. The applicability of individual standards or recommended practices is always determined by the auditor. As a means to assist with the interpretation of individual application, many ISARPs begin with a </w:t>
      </w:r>
      <w:r>
        <w:rPr>
          <w:rFonts w:ascii="Arial" w:eastAsia="Times New Roman" w:hAnsi="Arial" w:cs="Arial"/>
          <w:i/>
          <w:iCs/>
          <w:color w:val="022A4C"/>
          <w:sz w:val="18"/>
          <w:szCs w:val="18"/>
        </w:rPr>
        <w:t>conditional phrase</w:t>
      </w:r>
      <w:r>
        <w:rPr>
          <w:rFonts w:ascii="Arial" w:eastAsia="Times New Roman" w:hAnsi="Arial" w:cs="Arial"/>
          <w:color w:val="022A4C"/>
          <w:sz w:val="18"/>
          <w:szCs w:val="18"/>
        </w:rPr>
        <w:t xml:space="preserve"> as described below. </w:t>
      </w:r>
    </w:p>
    <w:p w:rsidR="00384E50" w:rsidRDefault="00384E50">
      <w:pPr>
        <w:divId w:val="583027268"/>
        <w:rPr>
          <w:rFonts w:ascii="Arial" w:eastAsia="Times New Roman" w:hAnsi="Arial" w:cs="Arial"/>
          <w:color w:val="022A4C"/>
          <w:sz w:val="18"/>
          <w:szCs w:val="18"/>
        </w:rPr>
      </w:pPr>
      <w:r>
        <w:rPr>
          <w:rFonts w:ascii="Arial" w:eastAsia="Times New Roman" w:hAnsi="Arial" w:cs="Arial"/>
          <w:b/>
          <w:bCs/>
          <w:i/>
          <w:iCs/>
          <w:color w:val="022A4C"/>
          <w:sz w:val="18"/>
          <w:szCs w:val="18"/>
        </w:rPr>
        <w:t>Systemic Applicability</w:t>
      </w:r>
    </w:p>
    <w:p w:rsidR="00384E50" w:rsidRDefault="00384E50">
      <w:pPr>
        <w:divId w:val="713887297"/>
        <w:rPr>
          <w:rFonts w:ascii="Arial" w:eastAsia="Times New Roman" w:hAnsi="Arial" w:cs="Arial"/>
          <w:color w:val="022A4C"/>
          <w:sz w:val="18"/>
          <w:szCs w:val="18"/>
        </w:rPr>
      </w:pPr>
      <w:r>
        <w:rPr>
          <w:rFonts w:ascii="Arial" w:eastAsia="Times New Roman" w:hAnsi="Arial" w:cs="Arial"/>
          <w:color w:val="022A4C"/>
          <w:sz w:val="18"/>
          <w:szCs w:val="18"/>
        </w:rPr>
        <w:lastRenderedPageBreak/>
        <w:t xml:space="preserve">When making a determination as to the applicability of individual ISARPs, it is important to take into account operations (relevant to the individual standard or recommended practice) that are conducted, not only at the home station, but at all stations and other locations throughout the operator's network. </w:t>
      </w:r>
    </w:p>
    <w:p w:rsidR="00384E50" w:rsidRDefault="00384E50">
      <w:pPr>
        <w:divId w:val="529535361"/>
        <w:rPr>
          <w:rFonts w:ascii="Arial" w:eastAsia="Times New Roman" w:hAnsi="Arial" w:cs="Arial"/>
          <w:color w:val="022A4C"/>
          <w:sz w:val="18"/>
          <w:szCs w:val="18"/>
        </w:rPr>
      </w:pPr>
      <w:r>
        <w:rPr>
          <w:rFonts w:ascii="Arial" w:eastAsia="Times New Roman" w:hAnsi="Arial" w:cs="Arial"/>
          <w:b/>
          <w:bCs/>
          <w:i/>
          <w:iCs/>
          <w:color w:val="022A4C"/>
          <w:sz w:val="18"/>
          <w:szCs w:val="18"/>
        </w:rPr>
        <w:t>Aircraft Applicability</w:t>
      </w:r>
    </w:p>
    <w:p w:rsidR="00384E50" w:rsidRDefault="00384E50">
      <w:pPr>
        <w:divId w:val="1212771400"/>
        <w:rPr>
          <w:rFonts w:ascii="Arial" w:eastAsia="Times New Roman" w:hAnsi="Arial" w:cs="Arial"/>
          <w:i/>
          <w:iCs/>
          <w:color w:val="022A4C"/>
          <w:sz w:val="18"/>
          <w:szCs w:val="18"/>
        </w:rPr>
      </w:pPr>
      <w:r>
        <w:rPr>
          <w:rFonts w:ascii="Arial" w:eastAsia="Times New Roman" w:hAnsi="Arial" w:cs="Arial"/>
          <w:b/>
          <w:bCs/>
          <w:i/>
          <w:iCs/>
          <w:color w:val="022A4C"/>
          <w:sz w:val="18"/>
          <w:szCs w:val="18"/>
        </w:rPr>
        <w:t xml:space="preserve">Note: </w:t>
      </w:r>
    </w:p>
    <w:p w:rsidR="00384E50" w:rsidRDefault="00384E50">
      <w:pPr>
        <w:divId w:val="1348218905"/>
        <w:rPr>
          <w:rFonts w:ascii="Arial" w:eastAsia="Times New Roman" w:hAnsi="Arial" w:cs="Arial"/>
          <w:i/>
          <w:iCs/>
          <w:color w:val="022A4C"/>
          <w:sz w:val="18"/>
          <w:szCs w:val="18"/>
        </w:rPr>
      </w:pPr>
      <w:r>
        <w:rPr>
          <w:rFonts w:ascii="Arial" w:eastAsia="Times New Roman" w:hAnsi="Arial" w:cs="Arial"/>
          <w:i/>
          <w:iCs/>
          <w:color w:val="022A4C"/>
          <w:sz w:val="18"/>
          <w:szCs w:val="18"/>
        </w:rPr>
        <w:t>The term aircraft as used throughout the ISSM Part I refers to fixed wing aircraft (aeroplane or airplane).</w:t>
      </w:r>
    </w:p>
    <w:p w:rsidR="00384E50" w:rsidRDefault="00384E50">
      <w:pPr>
        <w:divId w:val="1893036667"/>
        <w:rPr>
          <w:rFonts w:ascii="Arial" w:eastAsia="Times New Roman" w:hAnsi="Arial" w:cs="Arial"/>
          <w:color w:val="022A4C"/>
          <w:sz w:val="18"/>
          <w:szCs w:val="18"/>
        </w:rPr>
      </w:pPr>
      <w:r>
        <w:rPr>
          <w:rFonts w:ascii="Arial" w:eastAsia="Times New Roman" w:hAnsi="Arial" w:cs="Arial"/>
          <w:color w:val="022A4C"/>
          <w:sz w:val="18"/>
          <w:szCs w:val="18"/>
        </w:rPr>
        <w:t xml:space="preserve">The ISARPs as published in this version of the ISSM are applicable only for the assessment of an operator that meets the eligibility criteria below: </w:t>
      </w:r>
    </w:p>
    <w:p w:rsidR="00384E50" w:rsidRDefault="00384E50">
      <w:pPr>
        <w:pStyle w:val="iatalistitem"/>
        <w:numPr>
          <w:ilvl w:val="0"/>
          <w:numId w:val="2"/>
        </w:numPr>
        <w:divId w:val="1893036667"/>
        <w:rPr>
          <w:rFonts w:ascii="Arial" w:eastAsia="Times New Roman" w:hAnsi="Arial" w:cs="Arial"/>
          <w:color w:val="022A4C"/>
          <w:sz w:val="18"/>
          <w:szCs w:val="18"/>
        </w:rPr>
      </w:pPr>
      <w:r>
        <w:rPr>
          <w:rFonts w:ascii="Arial" w:eastAsia="Times New Roman" w:hAnsi="Arial" w:cs="Arial"/>
          <w:color w:val="022A4C"/>
          <w:sz w:val="18"/>
          <w:szCs w:val="18"/>
        </w:rPr>
        <w:t>Commercial and non-commercial passenger and/or cargo operations;</w:t>
      </w:r>
    </w:p>
    <w:p w:rsidR="00384E50" w:rsidRDefault="00384E50">
      <w:pPr>
        <w:pStyle w:val="iatalistitem"/>
        <w:numPr>
          <w:ilvl w:val="0"/>
          <w:numId w:val="2"/>
        </w:numPr>
        <w:divId w:val="1893036667"/>
        <w:rPr>
          <w:rFonts w:ascii="Arial" w:eastAsia="Times New Roman" w:hAnsi="Arial" w:cs="Arial"/>
          <w:color w:val="022A4C"/>
          <w:sz w:val="18"/>
          <w:szCs w:val="18"/>
        </w:rPr>
      </w:pPr>
      <w:r>
        <w:rPr>
          <w:rFonts w:ascii="Arial" w:eastAsia="Times New Roman" w:hAnsi="Arial" w:cs="Arial"/>
          <w:color w:val="022A4C"/>
          <w:sz w:val="18"/>
          <w:szCs w:val="18"/>
        </w:rPr>
        <w:t>Aircraft with one or more turbine powered and/or multiple reciprocating engines;</w:t>
      </w:r>
    </w:p>
    <w:p w:rsidR="00384E50" w:rsidRDefault="00384E50">
      <w:pPr>
        <w:pStyle w:val="iatalistitem"/>
        <w:numPr>
          <w:ilvl w:val="0"/>
          <w:numId w:val="2"/>
        </w:numPr>
        <w:divId w:val="1893036667"/>
        <w:rPr>
          <w:rFonts w:ascii="Arial" w:eastAsia="Times New Roman" w:hAnsi="Arial" w:cs="Arial"/>
          <w:color w:val="022A4C"/>
          <w:sz w:val="18"/>
          <w:szCs w:val="18"/>
        </w:rPr>
      </w:pPr>
      <w:r>
        <w:rPr>
          <w:rFonts w:ascii="Arial" w:eastAsia="Times New Roman" w:hAnsi="Arial" w:cs="Arial"/>
          <w:color w:val="022A4C"/>
          <w:sz w:val="18"/>
          <w:szCs w:val="18"/>
        </w:rPr>
        <w:t>One- or two-pilot operations;</w:t>
      </w:r>
    </w:p>
    <w:p w:rsidR="00384E50" w:rsidRDefault="00384E50">
      <w:pPr>
        <w:pStyle w:val="iatalistitem"/>
        <w:numPr>
          <w:ilvl w:val="0"/>
          <w:numId w:val="2"/>
        </w:numPr>
        <w:divId w:val="1893036667"/>
        <w:rPr>
          <w:rFonts w:ascii="Arial" w:eastAsia="Times New Roman" w:hAnsi="Arial" w:cs="Arial"/>
          <w:color w:val="022A4C"/>
          <w:sz w:val="18"/>
          <w:szCs w:val="18"/>
        </w:rPr>
      </w:pPr>
      <w:r>
        <w:rPr>
          <w:rFonts w:ascii="Arial" w:eastAsia="Times New Roman" w:hAnsi="Arial" w:cs="Arial"/>
          <w:color w:val="022A4C"/>
          <w:sz w:val="18"/>
          <w:szCs w:val="18"/>
        </w:rPr>
        <w:t>IFR and/or VFR operations;</w:t>
      </w:r>
    </w:p>
    <w:p w:rsidR="00384E50" w:rsidRDefault="00384E50">
      <w:pPr>
        <w:pStyle w:val="iatalistitem"/>
        <w:numPr>
          <w:ilvl w:val="0"/>
          <w:numId w:val="2"/>
        </w:numPr>
        <w:divId w:val="1893036667"/>
        <w:rPr>
          <w:rFonts w:ascii="Arial" w:eastAsia="Times New Roman" w:hAnsi="Arial" w:cs="Arial"/>
          <w:color w:val="022A4C"/>
          <w:sz w:val="18"/>
          <w:szCs w:val="18"/>
        </w:rPr>
      </w:pPr>
      <w:r>
        <w:rPr>
          <w:rFonts w:ascii="Arial" w:eastAsia="Times New Roman" w:hAnsi="Arial" w:cs="Arial"/>
          <w:color w:val="022A4C"/>
          <w:sz w:val="18"/>
          <w:szCs w:val="18"/>
        </w:rPr>
        <w:t>Aircraft below 5,700 Kg (12,566 lb) MTOW.</w:t>
      </w:r>
    </w:p>
    <w:p w:rsidR="00384E50" w:rsidRDefault="00384E50">
      <w:pPr>
        <w:divId w:val="713508926"/>
        <w:rPr>
          <w:rFonts w:ascii="Arial" w:eastAsia="Times New Roman" w:hAnsi="Arial" w:cs="Arial"/>
          <w:i/>
          <w:iCs/>
          <w:color w:val="022A4C"/>
          <w:sz w:val="18"/>
          <w:szCs w:val="18"/>
        </w:rPr>
      </w:pPr>
      <w:r>
        <w:rPr>
          <w:rFonts w:ascii="Arial" w:eastAsia="Times New Roman" w:hAnsi="Arial" w:cs="Arial"/>
          <w:b/>
          <w:bCs/>
          <w:i/>
          <w:iCs/>
          <w:color w:val="022A4C"/>
          <w:sz w:val="18"/>
          <w:szCs w:val="18"/>
        </w:rPr>
        <w:t xml:space="preserve">Note: </w:t>
      </w:r>
    </w:p>
    <w:p w:rsidR="00384E50" w:rsidRDefault="00384E50">
      <w:pPr>
        <w:divId w:val="36200839"/>
        <w:rPr>
          <w:rFonts w:ascii="Arial" w:eastAsia="Times New Roman" w:hAnsi="Arial" w:cs="Arial"/>
          <w:i/>
          <w:iCs/>
          <w:color w:val="022A4C"/>
          <w:sz w:val="18"/>
          <w:szCs w:val="18"/>
        </w:rPr>
      </w:pPr>
      <w:r>
        <w:rPr>
          <w:rFonts w:ascii="Arial" w:eastAsia="Times New Roman" w:hAnsi="Arial" w:cs="Arial"/>
          <w:i/>
          <w:iCs/>
          <w:color w:val="022A4C"/>
          <w:sz w:val="18"/>
          <w:szCs w:val="18"/>
        </w:rPr>
        <w:t xml:space="preserve">For commercial operations aircraft above 5,700 Kg (12,566 lb) MTOW will be eligible for one ISSA initial assessment. Aircraft above 5,700 kg MTOW will be assessed as out of scope during next renewal assessment. Aircraft weight category limitations do not apply for non-commercial operations. </w:t>
      </w:r>
    </w:p>
    <w:p w:rsidR="00384E50" w:rsidRDefault="00384E50">
      <w:pPr>
        <w:divId w:val="1171801078"/>
        <w:rPr>
          <w:rFonts w:ascii="Arial" w:eastAsia="Times New Roman" w:hAnsi="Arial" w:cs="Arial"/>
          <w:color w:val="022A4C"/>
          <w:sz w:val="18"/>
          <w:szCs w:val="18"/>
        </w:rPr>
      </w:pPr>
      <w:r>
        <w:rPr>
          <w:rFonts w:ascii="Arial" w:eastAsia="Times New Roman" w:hAnsi="Arial" w:cs="Arial"/>
          <w:color w:val="022A4C"/>
          <w:sz w:val="18"/>
          <w:szCs w:val="18"/>
        </w:rPr>
        <w:t xml:space="preserve">ISARPs may not be applied or used for the assessment of operations that are conducted with: </w:t>
      </w:r>
    </w:p>
    <w:p w:rsidR="00384E50" w:rsidRDefault="00384E50">
      <w:pPr>
        <w:pStyle w:val="iatalistitem"/>
        <w:numPr>
          <w:ilvl w:val="0"/>
          <w:numId w:val="3"/>
        </w:numPr>
        <w:divId w:val="1171801078"/>
        <w:rPr>
          <w:rFonts w:ascii="Arial" w:eastAsia="Times New Roman" w:hAnsi="Arial" w:cs="Arial"/>
          <w:color w:val="022A4C"/>
          <w:sz w:val="18"/>
          <w:szCs w:val="18"/>
        </w:rPr>
      </w:pPr>
      <w:r>
        <w:rPr>
          <w:rFonts w:ascii="Arial" w:eastAsia="Times New Roman" w:hAnsi="Arial" w:cs="Arial"/>
          <w:color w:val="022A4C"/>
          <w:sz w:val="18"/>
          <w:szCs w:val="18"/>
        </w:rPr>
        <w:t>Aircraft with single reciprocating engines;</w:t>
      </w:r>
    </w:p>
    <w:p w:rsidR="00384E50" w:rsidRDefault="00384E50">
      <w:pPr>
        <w:pStyle w:val="iatalistitem"/>
        <w:numPr>
          <w:ilvl w:val="0"/>
          <w:numId w:val="3"/>
        </w:numPr>
        <w:divId w:val="1171801078"/>
        <w:rPr>
          <w:rFonts w:ascii="Arial" w:eastAsia="Times New Roman" w:hAnsi="Arial" w:cs="Arial"/>
          <w:color w:val="022A4C"/>
          <w:sz w:val="18"/>
          <w:szCs w:val="18"/>
        </w:rPr>
      </w:pPr>
      <w:r>
        <w:rPr>
          <w:rFonts w:ascii="Arial" w:eastAsia="Times New Roman" w:hAnsi="Arial" w:cs="Arial"/>
          <w:color w:val="022A4C"/>
          <w:sz w:val="18"/>
          <w:szCs w:val="18"/>
        </w:rPr>
        <w:t>Helicopters;</w:t>
      </w:r>
    </w:p>
    <w:p w:rsidR="00384E50" w:rsidRDefault="00384E50">
      <w:pPr>
        <w:pStyle w:val="iatalistitem"/>
        <w:numPr>
          <w:ilvl w:val="0"/>
          <w:numId w:val="3"/>
        </w:numPr>
        <w:divId w:val="1171801078"/>
        <w:rPr>
          <w:rFonts w:ascii="Arial" w:eastAsia="Times New Roman" w:hAnsi="Arial" w:cs="Arial"/>
          <w:color w:val="022A4C"/>
          <w:sz w:val="18"/>
          <w:szCs w:val="18"/>
        </w:rPr>
      </w:pPr>
      <w:r>
        <w:rPr>
          <w:rFonts w:ascii="Arial" w:eastAsia="Times New Roman" w:hAnsi="Arial" w:cs="Arial"/>
          <w:color w:val="022A4C"/>
          <w:sz w:val="18"/>
          <w:szCs w:val="18"/>
        </w:rPr>
        <w:t>Seaplanes;</w:t>
      </w:r>
    </w:p>
    <w:p w:rsidR="00384E50" w:rsidRDefault="00384E50">
      <w:pPr>
        <w:pStyle w:val="iatalistitem"/>
        <w:numPr>
          <w:ilvl w:val="0"/>
          <w:numId w:val="3"/>
        </w:numPr>
        <w:divId w:val="1171801078"/>
        <w:rPr>
          <w:rFonts w:ascii="Arial" w:eastAsia="Times New Roman" w:hAnsi="Arial" w:cs="Arial"/>
          <w:color w:val="022A4C"/>
          <w:sz w:val="18"/>
          <w:szCs w:val="18"/>
        </w:rPr>
      </w:pPr>
      <w:r>
        <w:rPr>
          <w:rFonts w:ascii="Arial" w:eastAsia="Times New Roman" w:hAnsi="Arial" w:cs="Arial"/>
          <w:color w:val="022A4C"/>
          <w:sz w:val="18"/>
          <w:szCs w:val="18"/>
        </w:rPr>
        <w:t>Operators with no aircraft on the AOC (only wet-lease operations).</w:t>
      </w:r>
    </w:p>
    <w:p w:rsidR="00384E50" w:rsidRDefault="00384E50">
      <w:pPr>
        <w:divId w:val="94331170"/>
        <w:rPr>
          <w:rFonts w:ascii="Arial" w:eastAsia="Times New Roman" w:hAnsi="Arial" w:cs="Arial"/>
          <w:i/>
          <w:iCs/>
          <w:color w:val="022A4C"/>
          <w:sz w:val="18"/>
          <w:szCs w:val="18"/>
        </w:rPr>
      </w:pPr>
      <w:r>
        <w:rPr>
          <w:rFonts w:ascii="Arial" w:eastAsia="Times New Roman" w:hAnsi="Arial" w:cs="Arial"/>
          <w:b/>
          <w:bCs/>
          <w:i/>
          <w:iCs/>
          <w:color w:val="022A4C"/>
          <w:sz w:val="18"/>
          <w:szCs w:val="18"/>
        </w:rPr>
        <w:t xml:space="preserve">Note: </w:t>
      </w:r>
    </w:p>
    <w:p w:rsidR="00384E50" w:rsidRDefault="00384E50">
      <w:pPr>
        <w:divId w:val="1593196809"/>
        <w:rPr>
          <w:rFonts w:ascii="Arial" w:eastAsia="Times New Roman" w:hAnsi="Arial" w:cs="Arial"/>
          <w:i/>
          <w:iCs/>
          <w:color w:val="022A4C"/>
          <w:sz w:val="18"/>
          <w:szCs w:val="18"/>
        </w:rPr>
      </w:pPr>
      <w:r>
        <w:rPr>
          <w:rFonts w:ascii="Arial" w:eastAsia="Times New Roman" w:hAnsi="Arial" w:cs="Arial"/>
          <w:i/>
          <w:iCs/>
          <w:color w:val="022A4C"/>
          <w:sz w:val="18"/>
          <w:szCs w:val="18"/>
        </w:rPr>
        <w:t>For applicability of seaplanes and amphibians refer to ISSM Part II - Seaplanes and Amphibians.</w:t>
      </w:r>
    </w:p>
    <w:p w:rsidR="00384E50" w:rsidRDefault="00384E50">
      <w:pPr>
        <w:divId w:val="121071547"/>
        <w:rPr>
          <w:rFonts w:ascii="Arial" w:eastAsia="Times New Roman" w:hAnsi="Arial" w:cs="Arial"/>
          <w:color w:val="022A4C"/>
          <w:sz w:val="18"/>
          <w:szCs w:val="18"/>
        </w:rPr>
      </w:pPr>
      <w:r>
        <w:rPr>
          <w:rFonts w:ascii="Arial" w:eastAsia="Times New Roman" w:hAnsi="Arial" w:cs="Arial"/>
          <w:color w:val="022A4C"/>
          <w:sz w:val="18"/>
          <w:szCs w:val="18"/>
        </w:rPr>
        <w:t xml:space="preserve">During an assessment, ISARPs are applied only to those aircraft that are of the type authorized in the Air Operator Certificate (AOC) (or equivalent document) and utilized in commercial and non - commercial passenger and/or cargo operations. Certain ISARPs are also applicable to ferry flights and training flights even though they refer to a non-revenue-generating flight, and such application is indicated in a note that is part of the standard or recommended practice. </w:t>
      </w:r>
    </w:p>
    <w:p w:rsidR="00384E50" w:rsidRDefault="00384E50">
      <w:pPr>
        <w:divId w:val="528422115"/>
        <w:rPr>
          <w:rFonts w:ascii="Arial" w:eastAsia="Times New Roman" w:hAnsi="Arial" w:cs="Arial"/>
          <w:color w:val="022A4C"/>
          <w:sz w:val="18"/>
          <w:szCs w:val="18"/>
        </w:rPr>
      </w:pPr>
      <w:r>
        <w:rPr>
          <w:rFonts w:ascii="Arial" w:eastAsia="Times New Roman" w:hAnsi="Arial" w:cs="Arial"/>
          <w:color w:val="022A4C"/>
          <w:sz w:val="18"/>
          <w:szCs w:val="18"/>
        </w:rPr>
        <w:t xml:space="preserve">Based on the request of the Operator which operates commercially, other owned or leased aircraft that are not of the type authorized in the AOC and/or not utilized in commercial air transport operations will not be evaluated during an assessment. However, the existence of such aircraft will be referenced with an explanation in the ISSA Assessment Report (ISAR). </w:t>
      </w:r>
    </w:p>
    <w:p w:rsidR="00384E50" w:rsidRDefault="00384E50" w:rsidP="00384E50">
      <w:pPr>
        <w:pStyle w:val="Heading2"/>
        <w:shd w:val="clear" w:color="auto" w:fill="1E32FA"/>
        <w:spacing w:after="0" w:afterAutospacing="0"/>
        <w:ind w:left="-50" w:right="-36"/>
        <w:divId w:val="293563419"/>
        <w:rPr>
          <w:rFonts w:ascii="Arial" w:eastAsia="Times New Roman" w:hAnsi="Arial" w:cs="Arial"/>
          <w:color w:val="FFFFFF"/>
          <w:sz w:val="25"/>
          <w:szCs w:val="25"/>
        </w:rPr>
      </w:pPr>
      <w:r>
        <w:rPr>
          <w:rFonts w:ascii="Arial" w:eastAsia="Times New Roman" w:hAnsi="Arial" w:cs="Arial"/>
          <w:color w:val="FFFFFF"/>
          <w:sz w:val="25"/>
          <w:szCs w:val="25"/>
        </w:rPr>
        <w:t>5 Explanation of ISARPs</w:t>
      </w:r>
    </w:p>
    <w:p w:rsidR="00384E50" w:rsidRDefault="00384E50">
      <w:pPr>
        <w:divId w:val="293563419"/>
        <w:rPr>
          <w:rFonts w:ascii="Arial" w:eastAsia="Times New Roman" w:hAnsi="Arial" w:cs="Arial"/>
          <w:color w:val="022A4C"/>
          <w:sz w:val="18"/>
          <w:szCs w:val="18"/>
        </w:rPr>
      </w:pPr>
    </w:p>
    <w:p w:rsidR="00384E50" w:rsidRDefault="00384E50">
      <w:pPr>
        <w:divId w:val="1298486832"/>
        <w:rPr>
          <w:rFonts w:ascii="Arial" w:eastAsia="Times New Roman" w:hAnsi="Arial" w:cs="Arial"/>
          <w:color w:val="022A4C"/>
          <w:sz w:val="18"/>
          <w:szCs w:val="18"/>
        </w:rPr>
      </w:pPr>
      <w:r>
        <w:rPr>
          <w:rFonts w:ascii="Arial" w:eastAsia="Times New Roman" w:hAnsi="Arial" w:cs="Arial"/>
          <w:color w:val="022A4C"/>
          <w:sz w:val="18"/>
          <w:szCs w:val="18"/>
        </w:rPr>
        <w:t xml:space="preserve">ISARPs contained in this manual have been developed solely for use under the ISSA program and contain the operational criteria upon which the assessments are based. ISARPs are not regulations. </w:t>
      </w:r>
    </w:p>
    <w:p w:rsidR="00384E50" w:rsidRDefault="00384E50">
      <w:pPr>
        <w:divId w:val="493881711"/>
        <w:rPr>
          <w:rFonts w:ascii="Arial" w:eastAsia="Times New Roman" w:hAnsi="Arial" w:cs="Arial"/>
          <w:color w:val="022A4C"/>
          <w:sz w:val="18"/>
          <w:szCs w:val="18"/>
        </w:rPr>
      </w:pPr>
      <w:r>
        <w:rPr>
          <w:rFonts w:ascii="Arial" w:eastAsia="Times New Roman" w:hAnsi="Arial" w:cs="Arial"/>
          <w:b/>
          <w:bCs/>
          <w:i/>
          <w:iCs/>
          <w:color w:val="022A4C"/>
          <w:sz w:val="18"/>
          <w:szCs w:val="18"/>
        </w:rPr>
        <w:t>ISARPs Identifiers</w:t>
      </w:r>
    </w:p>
    <w:p w:rsidR="00384E50" w:rsidRDefault="00384E50">
      <w:pPr>
        <w:divId w:val="1797023150"/>
        <w:rPr>
          <w:rFonts w:ascii="Arial" w:eastAsia="Times New Roman" w:hAnsi="Arial" w:cs="Arial"/>
          <w:color w:val="022A4C"/>
          <w:sz w:val="18"/>
          <w:szCs w:val="18"/>
        </w:rPr>
      </w:pPr>
      <w:r>
        <w:rPr>
          <w:rFonts w:ascii="Arial" w:eastAsia="Times New Roman" w:hAnsi="Arial" w:cs="Arial"/>
          <w:color w:val="022A4C"/>
          <w:sz w:val="18"/>
          <w:szCs w:val="18"/>
        </w:rPr>
        <w:t>All ISM provisions (i.e. the ISARPs) are preceded by an identifier that consists of the three-letter section abbreviation and a string of three numbers separated by two decimal points (e.g. ORG 1.1.1). Stabilization of the ISARPs identifiers is an important goal, primarily for facilitating use of the ISARPs by operators, auditors and others, but also for the purpose of ensuring an accurate statistical basis. Therefore, when revising the ISSM, every effort is made to minimize any renumbering of the ISARPs. I</w:t>
      </w:r>
      <w:r>
        <w:rPr>
          <w:rFonts w:ascii="Arial" w:eastAsia="Times New Roman" w:hAnsi="Arial" w:cs="Arial"/>
          <w:color w:val="022A4C"/>
          <w:sz w:val="18"/>
          <w:szCs w:val="18"/>
        </w:rPr>
        <w:t xml:space="preserve">n certain instances new provisions must be inserted into an existing series of ISARPs. Normally this is done when it is important that the new provision has a logical locational relationship with another existing provision. When this occurs, an additional upper-case letter is attached to the identifier of the applicable provisions as the means of avoiding the renumbering of other ISARPs that follow in the series. </w:t>
      </w:r>
    </w:p>
    <w:p w:rsidR="00384E50" w:rsidRDefault="00384E50">
      <w:pPr>
        <w:divId w:val="2036346202"/>
        <w:rPr>
          <w:rFonts w:ascii="Arial" w:eastAsia="Times New Roman" w:hAnsi="Arial" w:cs="Arial"/>
          <w:color w:val="022A4C"/>
          <w:sz w:val="18"/>
          <w:szCs w:val="18"/>
        </w:rPr>
      </w:pPr>
      <w:r>
        <w:rPr>
          <w:rFonts w:ascii="Arial" w:eastAsia="Times New Roman" w:hAnsi="Arial" w:cs="Arial"/>
          <w:b/>
          <w:bCs/>
          <w:i/>
          <w:iCs/>
          <w:color w:val="022A4C"/>
          <w:sz w:val="18"/>
          <w:szCs w:val="18"/>
        </w:rPr>
        <w:lastRenderedPageBreak/>
        <w:t>Standards</w:t>
      </w:r>
    </w:p>
    <w:p w:rsidR="00384E50" w:rsidRDefault="00384E50">
      <w:pPr>
        <w:divId w:val="1862864485"/>
        <w:rPr>
          <w:rFonts w:ascii="Arial" w:eastAsia="Times New Roman" w:hAnsi="Arial" w:cs="Arial"/>
          <w:color w:val="022A4C"/>
          <w:sz w:val="18"/>
          <w:szCs w:val="18"/>
        </w:rPr>
      </w:pPr>
      <w:r>
        <w:rPr>
          <w:rFonts w:ascii="Arial" w:eastAsia="Times New Roman" w:hAnsi="Arial" w:cs="Arial"/>
          <w:color w:val="022A4C"/>
          <w:sz w:val="18"/>
          <w:szCs w:val="18"/>
        </w:rPr>
        <w:t>ISSA Standards are specified systems, policies, programs, processes, procedures, plans, sets of measures, facilities, components, types of equipment or any other aspect of operations under the scope of ISSA that have been determined to be an operational necessity, and with which an operator will be expected to be in conformity at the conclusion of an assessment. Standards always contain the word “shall” (e.g., “The Operator shall have a process…”) in order to denote that conformance by an operator being aud</w:t>
      </w:r>
      <w:r>
        <w:rPr>
          <w:rFonts w:ascii="Arial" w:eastAsia="Times New Roman" w:hAnsi="Arial" w:cs="Arial"/>
          <w:color w:val="022A4C"/>
          <w:sz w:val="18"/>
          <w:szCs w:val="18"/>
        </w:rPr>
        <w:t xml:space="preserve">ited is a requirement for ISSA registration. </w:t>
      </w:r>
    </w:p>
    <w:p w:rsidR="00384E50" w:rsidRDefault="00384E50">
      <w:pPr>
        <w:divId w:val="1019546321"/>
        <w:rPr>
          <w:rFonts w:ascii="Arial" w:eastAsia="Times New Roman" w:hAnsi="Arial" w:cs="Arial"/>
          <w:color w:val="022A4C"/>
          <w:sz w:val="18"/>
          <w:szCs w:val="18"/>
        </w:rPr>
      </w:pPr>
      <w:r>
        <w:rPr>
          <w:rFonts w:ascii="Arial" w:eastAsia="Times New Roman" w:hAnsi="Arial" w:cs="Arial"/>
          <w:color w:val="022A4C"/>
          <w:sz w:val="18"/>
          <w:szCs w:val="18"/>
        </w:rPr>
        <w:t xml:space="preserve">During an assessment, determination of nonconformity with specifications contained in an ISSA Standard results in a Finding, which in turn results in the generation of a Corrective Action Report (CAR). </w:t>
      </w:r>
    </w:p>
    <w:p w:rsidR="00384E50" w:rsidRDefault="00384E50">
      <w:pPr>
        <w:divId w:val="1969237432"/>
        <w:rPr>
          <w:rFonts w:ascii="Arial" w:eastAsia="Times New Roman" w:hAnsi="Arial" w:cs="Arial"/>
          <w:color w:val="022A4C"/>
          <w:sz w:val="18"/>
          <w:szCs w:val="18"/>
        </w:rPr>
      </w:pPr>
      <w:r>
        <w:rPr>
          <w:rFonts w:ascii="Arial" w:eastAsia="Times New Roman" w:hAnsi="Arial" w:cs="Arial"/>
          <w:color w:val="022A4C"/>
          <w:sz w:val="18"/>
          <w:szCs w:val="18"/>
        </w:rPr>
        <w:t xml:space="preserve">To close a Finding, an operator will develop a Corrective Action Plan (CAP), and then implement corrective action in accordance with the CAP. </w:t>
      </w:r>
    </w:p>
    <w:p w:rsidR="00384E50" w:rsidRDefault="00384E50">
      <w:pPr>
        <w:divId w:val="71203956"/>
        <w:rPr>
          <w:rFonts w:ascii="Arial" w:eastAsia="Times New Roman" w:hAnsi="Arial" w:cs="Arial"/>
          <w:color w:val="022A4C"/>
          <w:sz w:val="18"/>
          <w:szCs w:val="18"/>
        </w:rPr>
      </w:pPr>
      <w:r>
        <w:rPr>
          <w:rFonts w:ascii="Arial" w:eastAsia="Times New Roman" w:hAnsi="Arial" w:cs="Arial"/>
          <w:b/>
          <w:bCs/>
          <w:i/>
          <w:iCs/>
          <w:color w:val="022A4C"/>
          <w:sz w:val="18"/>
          <w:szCs w:val="18"/>
        </w:rPr>
        <w:t>Recommended Practices</w:t>
      </w:r>
    </w:p>
    <w:p w:rsidR="00384E50" w:rsidRDefault="00384E50">
      <w:pPr>
        <w:divId w:val="150608362"/>
        <w:rPr>
          <w:rFonts w:ascii="Arial" w:eastAsia="Times New Roman" w:hAnsi="Arial" w:cs="Arial"/>
          <w:color w:val="022A4C"/>
          <w:sz w:val="18"/>
          <w:szCs w:val="18"/>
        </w:rPr>
      </w:pPr>
      <w:r>
        <w:rPr>
          <w:rFonts w:ascii="Arial" w:eastAsia="Times New Roman" w:hAnsi="Arial" w:cs="Arial"/>
          <w:color w:val="022A4C"/>
          <w:sz w:val="18"/>
          <w:szCs w:val="18"/>
        </w:rPr>
        <w:t xml:space="preserve">ISSA Recommended Practices are specified systems, policies, programs, processes, procedures, plans, sets of measures, facilities, components, types of equipment or any other aspects of operations under the assessment scope of ISSA that have been determined to be operationally desirable, but conformity is optional by an operator. Recommended Practices always contain the italicized word “should” (e.g., “The Operator should have a policy…”) to denote conformance is optional. </w:t>
      </w:r>
    </w:p>
    <w:p w:rsidR="00384E50" w:rsidRDefault="00384E50">
      <w:pPr>
        <w:divId w:val="995763371"/>
        <w:rPr>
          <w:rFonts w:ascii="Arial" w:eastAsia="Times New Roman" w:hAnsi="Arial" w:cs="Arial"/>
          <w:color w:val="022A4C"/>
          <w:sz w:val="18"/>
          <w:szCs w:val="18"/>
        </w:rPr>
      </w:pPr>
      <w:r>
        <w:rPr>
          <w:rFonts w:ascii="Arial" w:eastAsia="Times New Roman" w:hAnsi="Arial" w:cs="Arial"/>
          <w:color w:val="022A4C"/>
          <w:sz w:val="18"/>
          <w:szCs w:val="18"/>
        </w:rPr>
        <w:t xml:space="preserve">During an assessment, a determination of nonconformity with specifications contained in an ISSA Recommended Practice results in an Observation, which in turn results in the generation of a CAR. </w:t>
      </w:r>
    </w:p>
    <w:p w:rsidR="00384E50" w:rsidRDefault="00384E50">
      <w:pPr>
        <w:divId w:val="1212958022"/>
        <w:rPr>
          <w:rFonts w:ascii="Arial" w:eastAsia="Times New Roman" w:hAnsi="Arial" w:cs="Arial"/>
          <w:color w:val="022A4C"/>
          <w:sz w:val="18"/>
          <w:szCs w:val="18"/>
        </w:rPr>
      </w:pPr>
      <w:r>
        <w:rPr>
          <w:rFonts w:ascii="Arial" w:eastAsia="Times New Roman" w:hAnsi="Arial" w:cs="Arial"/>
          <w:color w:val="022A4C"/>
          <w:sz w:val="18"/>
          <w:szCs w:val="18"/>
        </w:rPr>
        <w:t xml:space="preserve">An operator is not obliged to close an observation with corrective action but, as a minimum, must provide the root cause analysis (RCA) portion of the CAP. However, if an operator chooses to close an Observation, it will require subsequent implementation of corrective action the same as is required to close a Finding. </w:t>
      </w:r>
    </w:p>
    <w:p w:rsidR="00384E50" w:rsidRDefault="00384E50">
      <w:pPr>
        <w:divId w:val="446463314"/>
        <w:rPr>
          <w:rFonts w:ascii="Arial" w:eastAsia="Times New Roman" w:hAnsi="Arial" w:cs="Arial"/>
          <w:color w:val="022A4C"/>
          <w:sz w:val="18"/>
          <w:szCs w:val="18"/>
        </w:rPr>
      </w:pPr>
      <w:r>
        <w:rPr>
          <w:rFonts w:ascii="Arial" w:eastAsia="Times New Roman" w:hAnsi="Arial" w:cs="Arial"/>
          <w:b/>
          <w:bCs/>
          <w:i/>
          <w:iCs/>
          <w:color w:val="022A4C"/>
          <w:sz w:val="18"/>
          <w:szCs w:val="18"/>
        </w:rPr>
        <w:t>Conditional Phrase</w:t>
      </w:r>
    </w:p>
    <w:p w:rsidR="00384E50" w:rsidRDefault="00384E50">
      <w:pPr>
        <w:divId w:val="1402632858"/>
        <w:rPr>
          <w:rFonts w:ascii="Arial" w:eastAsia="Times New Roman" w:hAnsi="Arial" w:cs="Arial"/>
          <w:color w:val="022A4C"/>
          <w:sz w:val="18"/>
          <w:szCs w:val="18"/>
        </w:rPr>
      </w:pPr>
      <w:r>
        <w:rPr>
          <w:rFonts w:ascii="Arial" w:eastAsia="Times New Roman" w:hAnsi="Arial" w:cs="Arial"/>
          <w:color w:val="022A4C"/>
          <w:sz w:val="18"/>
          <w:szCs w:val="18"/>
        </w:rPr>
        <w:t xml:space="preserve">Certain provisions (i.e. standards or recommended practices, or sub-specifications within certain provisions), begin with a conditional phrase. The conditional phrase states the conditions (one or more) that serve to define the applicability of the provision or sub-specification to the individual operator being assessed. A conditional phrase begins with the words “If the Operator…”. </w:t>
      </w:r>
    </w:p>
    <w:p w:rsidR="00384E50" w:rsidRDefault="00384E50">
      <w:pPr>
        <w:divId w:val="176583569"/>
        <w:rPr>
          <w:rFonts w:ascii="Arial" w:eastAsia="Times New Roman" w:hAnsi="Arial" w:cs="Arial"/>
          <w:color w:val="022A4C"/>
          <w:sz w:val="18"/>
          <w:szCs w:val="18"/>
        </w:rPr>
      </w:pPr>
      <w:r>
        <w:rPr>
          <w:rFonts w:ascii="Arial" w:eastAsia="Times New Roman" w:hAnsi="Arial" w:cs="Arial"/>
          <w:color w:val="022A4C"/>
          <w:sz w:val="18"/>
          <w:szCs w:val="18"/>
        </w:rPr>
        <w:t xml:space="preserve">When assessing an operator against a provision or sub-specification that begins with a conditional phrase, the Auditor will first determine if an operator meets the condition(s) stated in the conditional phrase. If the operator meets the stated condition(s), the provision or sub-specification is applicable to the operator and must be assessed for conformity. If the operator does not meet the condition(s), the provision or sub-specification is not applicable to that operator, and such non-applicability will </w:t>
      </w:r>
      <w:r>
        <w:rPr>
          <w:rFonts w:ascii="Arial" w:eastAsia="Times New Roman" w:hAnsi="Arial" w:cs="Arial"/>
          <w:color w:val="022A4C"/>
          <w:sz w:val="18"/>
          <w:szCs w:val="18"/>
        </w:rPr>
        <w:t xml:space="preserve">be recorded as N/A. </w:t>
      </w:r>
    </w:p>
    <w:p w:rsidR="00384E50" w:rsidRDefault="00384E50">
      <w:pPr>
        <w:divId w:val="490678479"/>
        <w:rPr>
          <w:rFonts w:ascii="Arial" w:eastAsia="Times New Roman" w:hAnsi="Arial" w:cs="Arial"/>
          <w:color w:val="022A4C"/>
          <w:sz w:val="18"/>
          <w:szCs w:val="18"/>
        </w:rPr>
      </w:pPr>
      <w:r>
        <w:rPr>
          <w:rFonts w:ascii="Arial" w:eastAsia="Times New Roman" w:hAnsi="Arial" w:cs="Arial"/>
          <w:b/>
          <w:bCs/>
          <w:i/>
          <w:iCs/>
          <w:color w:val="022A4C"/>
          <w:sz w:val="18"/>
          <w:szCs w:val="18"/>
        </w:rPr>
        <w:t>Notes and Symbols</w:t>
      </w:r>
    </w:p>
    <w:p w:rsidR="00384E50" w:rsidRDefault="00384E50">
      <w:pPr>
        <w:divId w:val="859974553"/>
        <w:rPr>
          <w:rFonts w:ascii="Arial" w:eastAsia="Times New Roman" w:hAnsi="Arial" w:cs="Arial"/>
          <w:color w:val="022A4C"/>
          <w:sz w:val="18"/>
          <w:szCs w:val="18"/>
        </w:rPr>
      </w:pPr>
      <w:r>
        <w:rPr>
          <w:rFonts w:ascii="Arial" w:eastAsia="Times New Roman" w:hAnsi="Arial" w:cs="Arial"/>
          <w:color w:val="022A4C"/>
          <w:sz w:val="18"/>
          <w:szCs w:val="18"/>
        </w:rPr>
        <w:t xml:space="preserve">An italicized note (Note:) immediately following a provision contains information relevant to the specification(s) in the provision, and is to be considered as part of the provision. </w:t>
      </w:r>
    </w:p>
    <w:p w:rsidR="00384E50" w:rsidRDefault="00384E50">
      <w:pPr>
        <w:divId w:val="467237182"/>
        <w:rPr>
          <w:rFonts w:ascii="Arial" w:eastAsia="Times New Roman" w:hAnsi="Arial" w:cs="Arial"/>
          <w:color w:val="022A4C"/>
          <w:sz w:val="18"/>
          <w:szCs w:val="18"/>
        </w:rPr>
      </w:pPr>
      <w:r>
        <w:rPr>
          <w:rFonts w:ascii="Arial" w:eastAsia="Times New Roman" w:hAnsi="Arial" w:cs="Arial"/>
          <w:color w:val="022A4C"/>
          <w:sz w:val="18"/>
          <w:szCs w:val="18"/>
        </w:rPr>
        <w:t xml:space="preserve">An </w:t>
      </w:r>
      <w:r>
        <w:rPr>
          <w:rFonts w:ascii="Arial" w:eastAsia="Times New Roman" w:hAnsi="Arial" w:cs="Arial"/>
          <w:b/>
          <w:bCs/>
          <w:color w:val="022A4C"/>
          <w:sz w:val="18"/>
          <w:szCs w:val="18"/>
        </w:rPr>
        <w:t>[SMS]</w:t>
      </w:r>
      <w:r>
        <w:rPr>
          <w:rFonts w:ascii="Arial" w:eastAsia="Times New Roman" w:hAnsi="Arial" w:cs="Arial"/>
          <w:color w:val="022A4C"/>
          <w:sz w:val="18"/>
          <w:szCs w:val="18"/>
        </w:rPr>
        <w:t xml:space="preserve"> symbol in bold text immediately following the last sentence of an ISSA provision indicates the provision specifies one or more of the elements of a safety management system (SMS). (SMS is addressed in subsection 8 below.) </w:t>
      </w:r>
    </w:p>
    <w:p w:rsidR="00384E50" w:rsidRDefault="00384E50">
      <w:pPr>
        <w:divId w:val="2066293014"/>
        <w:rPr>
          <w:rFonts w:ascii="Arial" w:eastAsia="Times New Roman" w:hAnsi="Arial" w:cs="Arial"/>
          <w:color w:val="022A4C"/>
          <w:sz w:val="18"/>
          <w:szCs w:val="18"/>
        </w:rPr>
      </w:pPr>
      <w:r>
        <w:rPr>
          <w:rFonts w:ascii="Arial" w:eastAsia="Times New Roman" w:hAnsi="Arial" w:cs="Arial"/>
          <w:color w:val="022A4C"/>
          <w:sz w:val="18"/>
          <w:szCs w:val="18"/>
        </w:rPr>
        <w:t xml:space="preserve">A </w:t>
      </w:r>
      <w:r>
        <w:rPr>
          <w:rFonts w:ascii="Arial" w:eastAsia="Times New Roman" w:hAnsi="Arial" w:cs="Arial"/>
          <w:b/>
          <w:bCs/>
          <w:color w:val="022A4C"/>
          <w:sz w:val="18"/>
          <w:szCs w:val="18"/>
        </w:rPr>
        <w:t>(GM</w:t>
      </w:r>
      <w:r>
        <w:rPr>
          <w:rFonts w:ascii="Arial" w:eastAsia="Times New Roman" w:hAnsi="Arial" w:cs="Arial"/>
          <w:color w:val="022A4C"/>
          <w:sz w:val="18"/>
          <w:szCs w:val="18"/>
        </w:rPr>
        <w:t xml:space="preserve">) symbol in bold text following the last sentence of an ISSA provision indicates the existence of associated guidance material. (Guidance Material is addressed in subsection 6 below.) </w:t>
      </w:r>
    </w:p>
    <w:p w:rsidR="00384E50" w:rsidRDefault="00384E50">
      <w:pPr>
        <w:divId w:val="1826164564"/>
        <w:rPr>
          <w:rFonts w:ascii="Arial" w:eastAsia="Times New Roman" w:hAnsi="Arial" w:cs="Arial"/>
          <w:color w:val="022A4C"/>
          <w:sz w:val="18"/>
          <w:szCs w:val="18"/>
        </w:rPr>
      </w:pPr>
      <w:r>
        <w:rPr>
          <w:rFonts w:ascii="Arial" w:eastAsia="Times New Roman" w:hAnsi="Arial" w:cs="Arial"/>
          <w:b/>
          <w:bCs/>
          <w:i/>
          <w:iCs/>
          <w:color w:val="022A4C"/>
          <w:sz w:val="18"/>
          <w:szCs w:val="18"/>
        </w:rPr>
        <w:t>Special Review Suspension</w:t>
      </w:r>
    </w:p>
    <w:p w:rsidR="00384E50" w:rsidRDefault="00384E50">
      <w:pPr>
        <w:divId w:val="230504021"/>
        <w:rPr>
          <w:rFonts w:ascii="Arial" w:eastAsia="Times New Roman" w:hAnsi="Arial" w:cs="Arial"/>
          <w:color w:val="022A4C"/>
          <w:sz w:val="18"/>
          <w:szCs w:val="18"/>
        </w:rPr>
      </w:pPr>
      <w:r>
        <w:rPr>
          <w:rFonts w:ascii="Arial" w:eastAsia="Times New Roman" w:hAnsi="Arial" w:cs="Arial"/>
          <w:color w:val="022A4C"/>
          <w:sz w:val="18"/>
          <w:szCs w:val="18"/>
        </w:rPr>
        <w:t xml:space="preserve">IATA, upon request from an appropriate industry source, may subject the technical specifications within an ISSA standard to a special review in accordance with the ISSA Standards Special Review Process. </w:t>
      </w:r>
    </w:p>
    <w:p w:rsidR="00384E50" w:rsidRDefault="00384E50">
      <w:pPr>
        <w:divId w:val="1738243780"/>
        <w:rPr>
          <w:rFonts w:ascii="Arial" w:eastAsia="Times New Roman" w:hAnsi="Arial" w:cs="Arial"/>
          <w:color w:val="022A4C"/>
          <w:sz w:val="18"/>
          <w:szCs w:val="18"/>
        </w:rPr>
      </w:pPr>
      <w:r>
        <w:rPr>
          <w:rFonts w:ascii="Arial" w:eastAsia="Times New Roman" w:hAnsi="Arial" w:cs="Arial"/>
          <w:color w:val="022A4C"/>
          <w:sz w:val="18"/>
          <w:szCs w:val="18"/>
        </w:rPr>
        <w:t xml:space="preserve">When a special review is conducted, the ISSA standard or certain sub-specifications within the ISSA standard are put under suspension until the special review has been completed. </w:t>
      </w:r>
    </w:p>
    <w:p w:rsidR="00384E50" w:rsidRDefault="00384E50">
      <w:pPr>
        <w:divId w:val="676425970"/>
        <w:rPr>
          <w:rFonts w:ascii="Arial" w:eastAsia="Times New Roman" w:hAnsi="Arial" w:cs="Arial"/>
          <w:color w:val="022A4C"/>
          <w:sz w:val="18"/>
          <w:szCs w:val="18"/>
        </w:rPr>
      </w:pPr>
      <w:r>
        <w:rPr>
          <w:rFonts w:ascii="Arial" w:eastAsia="Times New Roman" w:hAnsi="Arial" w:cs="Arial"/>
          <w:color w:val="022A4C"/>
          <w:sz w:val="18"/>
          <w:szCs w:val="18"/>
        </w:rPr>
        <w:t xml:space="preserve">When a new edition of the ISSM is published while a special review is in progress, the suspended ISSA standard or sub-specification(s) within the ISSA standard will be identified with either of the following, as appropriate: </w:t>
      </w:r>
    </w:p>
    <w:p w:rsidR="00384E50" w:rsidRDefault="00384E50">
      <w:pPr>
        <w:pStyle w:val="iatalistitem"/>
        <w:numPr>
          <w:ilvl w:val="0"/>
          <w:numId w:val="4"/>
        </w:numPr>
        <w:divId w:val="676425970"/>
        <w:rPr>
          <w:rFonts w:ascii="Arial" w:eastAsia="Times New Roman" w:hAnsi="Arial" w:cs="Arial"/>
          <w:color w:val="022A4C"/>
          <w:sz w:val="18"/>
          <w:szCs w:val="18"/>
        </w:rPr>
      </w:pPr>
      <w:r>
        <w:rPr>
          <w:rFonts w:ascii="Arial" w:eastAsia="Times New Roman" w:hAnsi="Arial" w:cs="Arial"/>
          <w:b/>
          <w:bCs/>
          <w:i/>
          <w:iCs/>
          <w:color w:val="022A4C"/>
          <w:sz w:val="18"/>
          <w:szCs w:val="18"/>
        </w:rPr>
        <w:t>(This standard is currently suspended in accordance with the ISSA Standards Special Review Process), or</w:t>
      </w:r>
    </w:p>
    <w:p w:rsidR="00384E50" w:rsidRDefault="00384E50">
      <w:pPr>
        <w:pStyle w:val="iatalistitem"/>
        <w:numPr>
          <w:ilvl w:val="0"/>
          <w:numId w:val="4"/>
        </w:numPr>
        <w:divId w:val="676425970"/>
        <w:rPr>
          <w:rFonts w:ascii="Arial" w:eastAsia="Times New Roman" w:hAnsi="Arial" w:cs="Arial"/>
          <w:color w:val="022A4C"/>
          <w:sz w:val="18"/>
          <w:szCs w:val="18"/>
        </w:rPr>
      </w:pPr>
      <w:r>
        <w:rPr>
          <w:rFonts w:ascii="Arial" w:eastAsia="Times New Roman" w:hAnsi="Arial" w:cs="Arial"/>
          <w:b/>
          <w:bCs/>
          <w:i/>
          <w:iCs/>
          <w:color w:val="022A4C"/>
          <w:sz w:val="18"/>
          <w:szCs w:val="18"/>
        </w:rPr>
        <w:lastRenderedPageBreak/>
        <w:t>(This sub-specification is currently suspended in accordance with the ISSA Standards Special Review Process).</w:t>
      </w:r>
    </w:p>
    <w:p w:rsidR="00384E50" w:rsidRDefault="00384E50" w:rsidP="00384E50">
      <w:pPr>
        <w:pStyle w:val="Heading2"/>
        <w:shd w:val="clear" w:color="auto" w:fill="1E32FA"/>
        <w:spacing w:after="0" w:afterAutospacing="0"/>
        <w:ind w:left="-50" w:right="-36"/>
        <w:divId w:val="1447655981"/>
        <w:rPr>
          <w:rFonts w:ascii="Arial" w:eastAsia="Times New Roman" w:hAnsi="Arial" w:cs="Arial"/>
          <w:color w:val="FFFFFF"/>
          <w:sz w:val="25"/>
          <w:szCs w:val="25"/>
        </w:rPr>
      </w:pPr>
      <w:r>
        <w:rPr>
          <w:rFonts w:ascii="Arial" w:eastAsia="Times New Roman" w:hAnsi="Arial" w:cs="Arial"/>
          <w:color w:val="FFFFFF"/>
          <w:sz w:val="25"/>
          <w:szCs w:val="25"/>
        </w:rPr>
        <w:t>6 Guidance Material</w:t>
      </w:r>
    </w:p>
    <w:p w:rsidR="00384E50" w:rsidRDefault="00384E50">
      <w:pPr>
        <w:divId w:val="1447655981"/>
        <w:rPr>
          <w:rFonts w:ascii="Arial" w:eastAsia="Times New Roman" w:hAnsi="Arial" w:cs="Arial"/>
          <w:color w:val="022A4C"/>
          <w:sz w:val="18"/>
          <w:szCs w:val="18"/>
        </w:rPr>
      </w:pPr>
    </w:p>
    <w:p w:rsidR="00384E50" w:rsidRDefault="00384E50">
      <w:pPr>
        <w:divId w:val="17436011"/>
        <w:rPr>
          <w:rFonts w:ascii="Arial" w:eastAsia="Times New Roman" w:hAnsi="Arial" w:cs="Arial"/>
          <w:color w:val="022A4C"/>
          <w:sz w:val="18"/>
          <w:szCs w:val="18"/>
        </w:rPr>
      </w:pPr>
      <w:r>
        <w:rPr>
          <w:rFonts w:ascii="Arial" w:eastAsia="Times New Roman" w:hAnsi="Arial" w:cs="Arial"/>
          <w:color w:val="022A4C"/>
          <w:sz w:val="18"/>
          <w:szCs w:val="18"/>
        </w:rPr>
        <w:t xml:space="preserve">Guidance material is informational in nature and supplements or clarifies the meaning or intent of certain ISARPs. ISARPs that are self-explanatory do not have associated guidance material. </w:t>
      </w:r>
    </w:p>
    <w:p w:rsidR="00384E50" w:rsidRDefault="00384E50">
      <w:pPr>
        <w:divId w:val="1057511442"/>
        <w:rPr>
          <w:rFonts w:ascii="Arial" w:eastAsia="Times New Roman" w:hAnsi="Arial" w:cs="Arial"/>
          <w:color w:val="022A4C"/>
          <w:sz w:val="18"/>
          <w:szCs w:val="18"/>
        </w:rPr>
      </w:pPr>
      <w:r>
        <w:rPr>
          <w:rFonts w:ascii="Arial" w:eastAsia="Times New Roman" w:hAnsi="Arial" w:cs="Arial"/>
          <w:color w:val="022A4C"/>
          <w:sz w:val="18"/>
          <w:szCs w:val="18"/>
        </w:rPr>
        <w:t xml:space="preserve">Guidance material is designed to ensure a common interpretation of specifications in ISARPs and provides additional detail that assists an operator to understand what is required in order to achieve conformity. Where applicable, guidance material also presents examples of acceptable alternative means of achieving conformity. </w:t>
      </w:r>
    </w:p>
    <w:p w:rsidR="00384E50" w:rsidRDefault="00384E50">
      <w:pPr>
        <w:divId w:val="1385758882"/>
        <w:rPr>
          <w:rFonts w:ascii="Arial" w:eastAsia="Times New Roman" w:hAnsi="Arial" w:cs="Arial"/>
          <w:color w:val="022A4C"/>
          <w:sz w:val="18"/>
          <w:szCs w:val="18"/>
        </w:rPr>
      </w:pPr>
      <w:r>
        <w:rPr>
          <w:rFonts w:ascii="Arial" w:eastAsia="Times New Roman" w:hAnsi="Arial" w:cs="Arial"/>
          <w:color w:val="022A4C"/>
          <w:sz w:val="18"/>
          <w:szCs w:val="18"/>
        </w:rPr>
        <w:t xml:space="preserve">Guidance material associated with an individual standard or recommended practice is co-located with the relevant provision and is preceded by the bold sub-heading </w:t>
      </w:r>
      <w:r>
        <w:rPr>
          <w:rFonts w:ascii="Arial" w:eastAsia="Times New Roman" w:hAnsi="Arial" w:cs="Arial"/>
          <w:b/>
          <w:bCs/>
          <w:color w:val="022A4C"/>
          <w:sz w:val="18"/>
          <w:szCs w:val="18"/>
        </w:rPr>
        <w:t>Guidance</w:t>
      </w:r>
      <w:r>
        <w:rPr>
          <w:rFonts w:ascii="Arial" w:eastAsia="Times New Roman" w:hAnsi="Arial" w:cs="Arial"/>
          <w:color w:val="022A4C"/>
          <w:sz w:val="18"/>
          <w:szCs w:val="18"/>
        </w:rPr>
        <w:t xml:space="preserve">. </w:t>
      </w:r>
    </w:p>
    <w:p w:rsidR="00384E50" w:rsidRDefault="00384E50">
      <w:pPr>
        <w:divId w:val="1226719679"/>
        <w:rPr>
          <w:rFonts w:ascii="Arial" w:eastAsia="Times New Roman" w:hAnsi="Arial" w:cs="Arial"/>
          <w:color w:val="022A4C"/>
          <w:sz w:val="18"/>
          <w:szCs w:val="18"/>
        </w:rPr>
      </w:pPr>
      <w:r>
        <w:rPr>
          <w:rFonts w:ascii="Arial" w:eastAsia="Times New Roman" w:hAnsi="Arial" w:cs="Arial"/>
          <w:color w:val="022A4C"/>
          <w:sz w:val="18"/>
          <w:szCs w:val="18"/>
        </w:rPr>
        <w:t xml:space="preserve">Additionally, some guidance material relates to an entire ISSM Part I section or to a specific grouping of provisions within a section. Such guidance stands alone in an appropriate location and is preceded by the bold heading </w:t>
      </w:r>
      <w:r>
        <w:rPr>
          <w:rFonts w:ascii="Arial" w:eastAsia="Times New Roman" w:hAnsi="Arial" w:cs="Arial"/>
          <w:b/>
          <w:bCs/>
          <w:color w:val="022A4C"/>
          <w:sz w:val="18"/>
          <w:szCs w:val="18"/>
        </w:rPr>
        <w:t>General Guidance</w:t>
      </w:r>
      <w:r>
        <w:rPr>
          <w:rFonts w:ascii="Arial" w:eastAsia="Times New Roman" w:hAnsi="Arial" w:cs="Arial"/>
          <w:color w:val="022A4C"/>
          <w:sz w:val="18"/>
          <w:szCs w:val="18"/>
        </w:rPr>
        <w:t xml:space="preserve">. </w:t>
      </w:r>
    </w:p>
    <w:p w:rsidR="00384E50" w:rsidRDefault="00384E50">
      <w:pPr>
        <w:divId w:val="1217593483"/>
        <w:rPr>
          <w:rFonts w:ascii="Arial" w:eastAsia="Times New Roman" w:hAnsi="Arial" w:cs="Arial"/>
          <w:color w:val="022A4C"/>
          <w:sz w:val="18"/>
          <w:szCs w:val="18"/>
        </w:rPr>
      </w:pPr>
      <w:r>
        <w:rPr>
          <w:rFonts w:ascii="Arial" w:eastAsia="Times New Roman" w:hAnsi="Arial" w:cs="Arial"/>
          <w:color w:val="022A4C"/>
          <w:sz w:val="18"/>
          <w:szCs w:val="18"/>
        </w:rPr>
        <w:t>Assessment specifications are contained only in the ISARPs, and never in the guidance material.</w:t>
      </w:r>
    </w:p>
    <w:p w:rsidR="00384E50" w:rsidRDefault="00384E50" w:rsidP="00384E50">
      <w:pPr>
        <w:pStyle w:val="Heading2"/>
        <w:shd w:val="clear" w:color="auto" w:fill="1E32FA"/>
        <w:spacing w:after="0" w:afterAutospacing="0"/>
        <w:ind w:left="-50" w:right="-36"/>
        <w:divId w:val="605776367"/>
        <w:rPr>
          <w:rFonts w:ascii="Arial" w:eastAsia="Times New Roman" w:hAnsi="Arial" w:cs="Arial"/>
          <w:color w:val="FFFFFF"/>
          <w:sz w:val="25"/>
          <w:szCs w:val="25"/>
        </w:rPr>
      </w:pPr>
      <w:r>
        <w:rPr>
          <w:rFonts w:ascii="Arial" w:eastAsia="Times New Roman" w:hAnsi="Arial" w:cs="Arial"/>
          <w:color w:val="FFFFFF"/>
          <w:sz w:val="25"/>
          <w:szCs w:val="25"/>
        </w:rPr>
        <w:t>7 Operational Assessment</w:t>
      </w:r>
    </w:p>
    <w:p w:rsidR="00384E50" w:rsidRDefault="00384E50">
      <w:pPr>
        <w:divId w:val="605776367"/>
        <w:rPr>
          <w:rFonts w:ascii="Arial" w:eastAsia="Times New Roman" w:hAnsi="Arial" w:cs="Arial"/>
          <w:color w:val="022A4C"/>
          <w:sz w:val="18"/>
          <w:szCs w:val="18"/>
        </w:rPr>
      </w:pPr>
    </w:p>
    <w:p w:rsidR="00384E50" w:rsidRDefault="00384E50">
      <w:pPr>
        <w:divId w:val="1331526500"/>
        <w:rPr>
          <w:rFonts w:ascii="Arial" w:eastAsia="Times New Roman" w:hAnsi="Arial" w:cs="Arial"/>
          <w:color w:val="022A4C"/>
          <w:sz w:val="18"/>
          <w:szCs w:val="18"/>
        </w:rPr>
      </w:pPr>
      <w:r>
        <w:rPr>
          <w:rFonts w:ascii="Arial" w:eastAsia="Times New Roman" w:hAnsi="Arial" w:cs="Arial"/>
          <w:color w:val="022A4C"/>
          <w:sz w:val="18"/>
          <w:szCs w:val="18"/>
        </w:rPr>
        <w:t xml:space="preserve">During an assessment, an operator is assessed against the ISARPs contained in this manual. To determine conformity with any standard or recommended practice, an auditor will gather evidence to assess the degree to which specifications are documented and implemented by the operator. In making such an assessment, the following information is applicable. </w:t>
      </w:r>
    </w:p>
    <w:p w:rsidR="00384E50" w:rsidRDefault="00384E50">
      <w:pPr>
        <w:divId w:val="1650593681"/>
        <w:rPr>
          <w:rFonts w:ascii="Arial" w:eastAsia="Times New Roman" w:hAnsi="Arial" w:cs="Arial"/>
          <w:color w:val="022A4C"/>
          <w:sz w:val="18"/>
          <w:szCs w:val="18"/>
        </w:rPr>
      </w:pPr>
      <w:r>
        <w:rPr>
          <w:rFonts w:ascii="Arial" w:eastAsia="Times New Roman" w:hAnsi="Arial" w:cs="Arial"/>
          <w:b/>
          <w:bCs/>
          <w:i/>
          <w:iCs/>
          <w:color w:val="022A4C"/>
          <w:sz w:val="18"/>
          <w:szCs w:val="18"/>
        </w:rPr>
        <w:t>Documented</w:t>
      </w:r>
    </w:p>
    <w:p w:rsidR="00384E50" w:rsidRDefault="00384E50">
      <w:pPr>
        <w:divId w:val="993143849"/>
        <w:rPr>
          <w:rFonts w:ascii="Arial" w:eastAsia="Times New Roman" w:hAnsi="Arial" w:cs="Arial"/>
          <w:color w:val="022A4C"/>
          <w:sz w:val="18"/>
          <w:szCs w:val="18"/>
        </w:rPr>
      </w:pPr>
      <w:r>
        <w:rPr>
          <w:rFonts w:ascii="Arial" w:eastAsia="Times New Roman" w:hAnsi="Arial" w:cs="Arial"/>
          <w:color w:val="022A4C"/>
          <w:sz w:val="18"/>
          <w:szCs w:val="18"/>
        </w:rPr>
        <w:t xml:space="preserve">Documented shall mean the specifications in the ISARPs are published and accurately represented by an operator in a controlled document. A controlled document is subject to processes that provide for positive control of content, revision, publication, distribution, availability and retention. </w:t>
      </w:r>
    </w:p>
    <w:p w:rsidR="00384E50" w:rsidRDefault="00384E50">
      <w:pPr>
        <w:divId w:val="378865207"/>
        <w:rPr>
          <w:rFonts w:ascii="Arial" w:eastAsia="Times New Roman" w:hAnsi="Arial" w:cs="Arial"/>
          <w:color w:val="022A4C"/>
          <w:sz w:val="18"/>
          <w:szCs w:val="18"/>
        </w:rPr>
      </w:pPr>
      <w:r>
        <w:rPr>
          <w:rFonts w:ascii="Arial" w:eastAsia="Times New Roman" w:hAnsi="Arial" w:cs="Arial"/>
          <w:color w:val="022A4C"/>
          <w:sz w:val="18"/>
          <w:szCs w:val="18"/>
        </w:rPr>
        <w:t xml:space="preserve">Documentation is necessary for an operator to ensure systems, programs, policies, processes, procedures and plans are implemented in a standardized manner, and to further ensure such standardized implementation is sustained on an on-going basis. Documentation provides the standards that govern the way personnel perform tasks within the management system and in operations. Such documented standards are necessary for an operator to: </w:t>
      </w:r>
    </w:p>
    <w:p w:rsidR="00384E50" w:rsidRDefault="00384E50">
      <w:pPr>
        <w:pStyle w:val="iatalistitem"/>
        <w:numPr>
          <w:ilvl w:val="0"/>
          <w:numId w:val="5"/>
        </w:numPr>
        <w:divId w:val="378865207"/>
        <w:rPr>
          <w:rFonts w:ascii="Arial" w:eastAsia="Times New Roman" w:hAnsi="Arial" w:cs="Arial"/>
          <w:color w:val="022A4C"/>
          <w:sz w:val="18"/>
          <w:szCs w:val="18"/>
        </w:rPr>
      </w:pPr>
      <w:r>
        <w:rPr>
          <w:rFonts w:ascii="Arial" w:eastAsia="Times New Roman" w:hAnsi="Arial" w:cs="Arial"/>
          <w:color w:val="022A4C"/>
          <w:sz w:val="18"/>
          <w:szCs w:val="18"/>
        </w:rPr>
        <w:t>Provide continuity in the flow of information to personnel;</w:t>
      </w:r>
    </w:p>
    <w:p w:rsidR="00384E50" w:rsidRDefault="00384E50">
      <w:pPr>
        <w:pStyle w:val="iatalistitem"/>
        <w:numPr>
          <w:ilvl w:val="0"/>
          <w:numId w:val="5"/>
        </w:numPr>
        <w:divId w:val="378865207"/>
        <w:rPr>
          <w:rFonts w:ascii="Arial" w:eastAsia="Times New Roman" w:hAnsi="Arial" w:cs="Arial"/>
          <w:color w:val="022A4C"/>
          <w:sz w:val="18"/>
          <w:szCs w:val="18"/>
        </w:rPr>
      </w:pPr>
      <w:r>
        <w:rPr>
          <w:rFonts w:ascii="Arial" w:eastAsia="Times New Roman" w:hAnsi="Arial" w:cs="Arial"/>
          <w:color w:val="022A4C"/>
          <w:sz w:val="18"/>
          <w:szCs w:val="18"/>
        </w:rPr>
        <w:t>Ensure personnel are properly trained;</w:t>
      </w:r>
    </w:p>
    <w:p w:rsidR="00384E50" w:rsidRDefault="00384E50">
      <w:pPr>
        <w:pStyle w:val="iatalistitem"/>
        <w:numPr>
          <w:ilvl w:val="0"/>
          <w:numId w:val="5"/>
        </w:numPr>
        <w:divId w:val="378865207"/>
        <w:rPr>
          <w:rFonts w:ascii="Arial" w:eastAsia="Times New Roman" w:hAnsi="Arial" w:cs="Arial"/>
          <w:color w:val="022A4C"/>
          <w:sz w:val="18"/>
          <w:szCs w:val="18"/>
        </w:rPr>
      </w:pPr>
      <w:r>
        <w:rPr>
          <w:rFonts w:ascii="Arial" w:eastAsia="Times New Roman" w:hAnsi="Arial" w:cs="Arial"/>
          <w:color w:val="022A4C"/>
          <w:sz w:val="18"/>
          <w:szCs w:val="18"/>
        </w:rPr>
        <w:t>Conduct evaluations (e.g. audits, inspections, performance assessments).</w:t>
      </w:r>
    </w:p>
    <w:p w:rsidR="00384E50" w:rsidRDefault="00384E50">
      <w:pPr>
        <w:divId w:val="1877310864"/>
        <w:rPr>
          <w:rFonts w:ascii="Arial" w:eastAsia="Times New Roman" w:hAnsi="Arial" w:cs="Arial"/>
          <w:color w:val="022A4C"/>
          <w:sz w:val="18"/>
          <w:szCs w:val="18"/>
        </w:rPr>
      </w:pPr>
      <w:r>
        <w:rPr>
          <w:rFonts w:ascii="Arial" w:eastAsia="Times New Roman" w:hAnsi="Arial" w:cs="Arial"/>
          <w:b/>
          <w:bCs/>
          <w:i/>
          <w:iCs/>
          <w:color w:val="022A4C"/>
          <w:sz w:val="18"/>
          <w:szCs w:val="18"/>
        </w:rPr>
        <w:t>Implemented</w:t>
      </w:r>
    </w:p>
    <w:p w:rsidR="00384E50" w:rsidRDefault="00384E50">
      <w:pPr>
        <w:divId w:val="974530244"/>
        <w:rPr>
          <w:rFonts w:ascii="Arial" w:eastAsia="Times New Roman" w:hAnsi="Arial" w:cs="Arial"/>
          <w:color w:val="022A4C"/>
          <w:sz w:val="18"/>
          <w:szCs w:val="18"/>
        </w:rPr>
      </w:pPr>
      <w:r>
        <w:rPr>
          <w:rFonts w:ascii="Arial" w:eastAsia="Times New Roman" w:hAnsi="Arial" w:cs="Arial"/>
          <w:color w:val="022A4C"/>
          <w:sz w:val="18"/>
          <w:szCs w:val="18"/>
        </w:rPr>
        <w:t xml:space="preserve">Implemented shall mean the specification(s) in the ISARPs are established, activated, integrated, incorporated, deployed, installed, maintained and/or made available, as part of the operational system, and is (are) monitored and evaluated, as necessary, for continued effectiveness. </w:t>
      </w:r>
    </w:p>
    <w:p w:rsidR="00384E50" w:rsidRDefault="00384E50">
      <w:pPr>
        <w:divId w:val="915239577"/>
        <w:rPr>
          <w:rFonts w:ascii="Arial" w:eastAsia="Times New Roman" w:hAnsi="Arial" w:cs="Arial"/>
          <w:color w:val="022A4C"/>
          <w:sz w:val="18"/>
          <w:szCs w:val="18"/>
        </w:rPr>
      </w:pPr>
      <w:r>
        <w:rPr>
          <w:rFonts w:ascii="Arial" w:eastAsia="Times New Roman" w:hAnsi="Arial" w:cs="Arial"/>
          <w:color w:val="022A4C"/>
          <w:sz w:val="18"/>
          <w:szCs w:val="18"/>
        </w:rPr>
        <w:t xml:space="preserve">The continuity of implementation is directly linked to documentation. To ensure standardization within the management system and in the conduct of operations, an operator must ensure specified systems, programs, policies, processes, procedures and plans are implemented as published in its controlled documents. </w:t>
      </w:r>
    </w:p>
    <w:p w:rsidR="00384E50" w:rsidRDefault="00384E50">
      <w:pPr>
        <w:divId w:val="3679472"/>
        <w:rPr>
          <w:rFonts w:ascii="Arial" w:eastAsia="Times New Roman" w:hAnsi="Arial" w:cs="Arial"/>
          <w:color w:val="022A4C"/>
          <w:sz w:val="18"/>
          <w:szCs w:val="18"/>
        </w:rPr>
      </w:pPr>
      <w:r>
        <w:rPr>
          <w:rFonts w:ascii="Arial" w:eastAsia="Times New Roman" w:hAnsi="Arial" w:cs="Arial"/>
          <w:color w:val="022A4C"/>
          <w:sz w:val="18"/>
          <w:szCs w:val="18"/>
        </w:rPr>
        <w:t xml:space="preserve">The requirement for specifications to be documented and implemented by an operator is inherent in ISARPs unless indicated otherwise. </w:t>
      </w:r>
    </w:p>
    <w:p w:rsidR="00384E50" w:rsidRDefault="00384E50">
      <w:pPr>
        <w:divId w:val="826212925"/>
        <w:rPr>
          <w:rFonts w:ascii="Arial" w:eastAsia="Times New Roman" w:hAnsi="Arial" w:cs="Arial"/>
          <w:color w:val="022A4C"/>
          <w:sz w:val="18"/>
          <w:szCs w:val="18"/>
        </w:rPr>
      </w:pPr>
      <w:r>
        <w:rPr>
          <w:rFonts w:ascii="Arial" w:eastAsia="Times New Roman" w:hAnsi="Arial" w:cs="Arial"/>
          <w:b/>
          <w:bCs/>
          <w:i/>
          <w:iCs/>
          <w:color w:val="022A4C"/>
          <w:sz w:val="18"/>
          <w:szCs w:val="18"/>
        </w:rPr>
        <w:t>Inactive Approved Operations</w:t>
      </w:r>
    </w:p>
    <w:p w:rsidR="00384E50" w:rsidRDefault="00384E50">
      <w:pPr>
        <w:divId w:val="1442190072"/>
        <w:rPr>
          <w:rFonts w:ascii="Arial" w:eastAsia="Times New Roman" w:hAnsi="Arial" w:cs="Arial"/>
          <w:color w:val="022A4C"/>
          <w:sz w:val="18"/>
          <w:szCs w:val="18"/>
        </w:rPr>
      </w:pPr>
      <w:r>
        <w:rPr>
          <w:rFonts w:ascii="Arial" w:eastAsia="Times New Roman" w:hAnsi="Arial" w:cs="Arial"/>
          <w:color w:val="022A4C"/>
          <w:sz w:val="18"/>
          <w:szCs w:val="18"/>
        </w:rPr>
        <w:t xml:space="preserve">It is not unusual for an operator to elect not to conduct certain types of operations for which it has regulatory approval (e.g. transport of dangerous goods). In such cases, ISSA provisions with specifications that address such inactive operations would not be applicable to the operator during an assessment if it is stated clearly in a controlled document (e.g. Operations Manual) that the specified operations are not conducted by the operator. </w:t>
      </w:r>
    </w:p>
    <w:p w:rsidR="00384E50" w:rsidRDefault="00384E50">
      <w:pPr>
        <w:divId w:val="864710914"/>
        <w:rPr>
          <w:rFonts w:ascii="Arial" w:eastAsia="Times New Roman" w:hAnsi="Arial" w:cs="Arial"/>
          <w:color w:val="022A4C"/>
          <w:sz w:val="18"/>
          <w:szCs w:val="18"/>
        </w:rPr>
      </w:pPr>
      <w:r>
        <w:rPr>
          <w:rFonts w:ascii="Arial" w:eastAsia="Times New Roman" w:hAnsi="Arial" w:cs="Arial"/>
          <w:b/>
          <w:bCs/>
          <w:i/>
          <w:iCs/>
          <w:color w:val="022A4C"/>
          <w:sz w:val="18"/>
          <w:szCs w:val="18"/>
        </w:rPr>
        <w:lastRenderedPageBreak/>
        <w:t>Outsourced Functions</w:t>
      </w:r>
    </w:p>
    <w:p w:rsidR="00384E50" w:rsidRDefault="00384E50">
      <w:pPr>
        <w:divId w:val="1955936237"/>
        <w:rPr>
          <w:rFonts w:ascii="Arial" w:eastAsia="Times New Roman" w:hAnsi="Arial" w:cs="Arial"/>
          <w:color w:val="022A4C"/>
          <w:sz w:val="18"/>
          <w:szCs w:val="18"/>
        </w:rPr>
      </w:pPr>
      <w:r>
        <w:rPr>
          <w:rFonts w:ascii="Arial" w:eastAsia="Times New Roman" w:hAnsi="Arial" w:cs="Arial"/>
          <w:color w:val="022A4C"/>
          <w:sz w:val="18"/>
          <w:szCs w:val="18"/>
        </w:rPr>
        <w:t>Where an operator has chosen to outsource operational functions specified in ISSA provisions to external service providers, conformity with those provisions will be based on evidence provided by the operator that demonstrates acceptable processes are in place (i.e. processes are documented and implemented) for monitoring such external service providers to ensure fulfillment of applicable operator and regulatory requirements affecting the safety and security of operations. Auditing is recommended as an effec</w:t>
      </w:r>
      <w:r>
        <w:rPr>
          <w:rFonts w:ascii="Arial" w:eastAsia="Times New Roman" w:hAnsi="Arial" w:cs="Arial"/>
          <w:color w:val="022A4C"/>
          <w:sz w:val="18"/>
          <w:szCs w:val="18"/>
        </w:rPr>
        <w:t xml:space="preserve">tive method for an operator to monitor external service providers. </w:t>
      </w:r>
    </w:p>
    <w:p w:rsidR="00384E50" w:rsidRDefault="00384E50" w:rsidP="00384E50">
      <w:pPr>
        <w:pStyle w:val="Heading2"/>
        <w:shd w:val="clear" w:color="auto" w:fill="1E32FA"/>
        <w:spacing w:after="0" w:afterAutospacing="0"/>
        <w:ind w:left="-50" w:right="-36"/>
        <w:divId w:val="1247768665"/>
        <w:rPr>
          <w:rFonts w:ascii="Arial" w:eastAsia="Times New Roman" w:hAnsi="Arial" w:cs="Arial"/>
          <w:color w:val="FFFFFF"/>
          <w:sz w:val="25"/>
          <w:szCs w:val="25"/>
        </w:rPr>
      </w:pPr>
      <w:r>
        <w:rPr>
          <w:rFonts w:ascii="Arial" w:eastAsia="Times New Roman" w:hAnsi="Arial" w:cs="Arial"/>
          <w:color w:val="FFFFFF"/>
          <w:sz w:val="25"/>
          <w:szCs w:val="25"/>
        </w:rPr>
        <w:t>8 Safety Management Systems (SMS)</w:t>
      </w:r>
    </w:p>
    <w:p w:rsidR="00384E50" w:rsidRDefault="00384E50">
      <w:pPr>
        <w:divId w:val="1247768665"/>
        <w:rPr>
          <w:rFonts w:ascii="Arial" w:eastAsia="Times New Roman" w:hAnsi="Arial" w:cs="Arial"/>
          <w:color w:val="022A4C"/>
          <w:sz w:val="18"/>
          <w:szCs w:val="18"/>
        </w:rPr>
      </w:pPr>
    </w:p>
    <w:p w:rsidR="00384E50" w:rsidRDefault="00384E50">
      <w:pPr>
        <w:divId w:val="239946178"/>
        <w:rPr>
          <w:rFonts w:ascii="Arial" w:eastAsia="Times New Roman" w:hAnsi="Arial" w:cs="Arial"/>
          <w:color w:val="022A4C"/>
          <w:sz w:val="18"/>
          <w:szCs w:val="18"/>
        </w:rPr>
      </w:pPr>
      <w:r>
        <w:rPr>
          <w:rFonts w:ascii="Arial" w:eastAsia="Times New Roman" w:hAnsi="Arial" w:cs="Arial"/>
          <w:color w:val="022A4C"/>
          <w:sz w:val="18"/>
          <w:szCs w:val="18"/>
        </w:rPr>
        <w:t xml:space="preserve">The components and elements of an SMS for air operators are published in the ICAO Framework for Safety Management Systems (SMS) as published in ICAO in Annex 19. Guidance supporting the Framework may be found in the ICAO Safety Management Manual (SMM), Doc 9859. Most SMS components and elements contained in the ICAO Framework are addressed in the ISARPs. </w:t>
      </w:r>
    </w:p>
    <w:p w:rsidR="00384E50" w:rsidRDefault="00384E50">
      <w:pPr>
        <w:divId w:val="931863735"/>
        <w:rPr>
          <w:rFonts w:ascii="Arial" w:eastAsia="Times New Roman" w:hAnsi="Arial" w:cs="Arial"/>
          <w:color w:val="022A4C"/>
          <w:sz w:val="18"/>
          <w:szCs w:val="18"/>
        </w:rPr>
      </w:pPr>
      <w:r>
        <w:rPr>
          <w:rFonts w:ascii="Arial" w:eastAsia="Times New Roman" w:hAnsi="Arial" w:cs="Arial"/>
          <w:color w:val="022A4C"/>
          <w:sz w:val="18"/>
          <w:szCs w:val="18"/>
        </w:rPr>
        <w:t>Specific SMS requirements for an operator will always be mandated by the State in accordance with its individual State Safety Plan (SSP). Not all states will mandate SMS immediately, and some states could take several years before making SMS mandatory for its operators. Additionally, some elements of SMS are quite complex, thus full implementation of an SMS by an operator will typically take several years. Therefore, given these factors, most SMS provisions are initially presented in the ISARPs as recommend</w:t>
      </w:r>
      <w:r>
        <w:rPr>
          <w:rFonts w:ascii="Arial" w:eastAsia="Times New Roman" w:hAnsi="Arial" w:cs="Arial"/>
          <w:color w:val="022A4C"/>
          <w:sz w:val="18"/>
          <w:szCs w:val="18"/>
        </w:rPr>
        <w:t xml:space="preserve">ed practices (i.e. “should”). SMS standards and recommended practices are identified by a bold [SMS] symbol immediately following the last sentence of the provision. </w:t>
      </w:r>
    </w:p>
    <w:p w:rsidR="00384E50" w:rsidRDefault="00384E50">
      <w:pPr>
        <w:divId w:val="657222381"/>
        <w:rPr>
          <w:rFonts w:ascii="Arial" w:eastAsia="Times New Roman" w:hAnsi="Arial" w:cs="Arial"/>
          <w:color w:val="022A4C"/>
          <w:sz w:val="18"/>
          <w:szCs w:val="18"/>
        </w:rPr>
      </w:pPr>
      <w:r>
        <w:rPr>
          <w:rFonts w:ascii="Arial" w:eastAsia="Times New Roman" w:hAnsi="Arial" w:cs="Arial"/>
          <w:color w:val="022A4C"/>
          <w:sz w:val="18"/>
          <w:szCs w:val="18"/>
        </w:rPr>
        <w:t xml:space="preserve">An operator that is assessed and found to be in conformity with all ISARPs (applicable to that operator) identified by the </w:t>
      </w:r>
      <w:r>
        <w:rPr>
          <w:rFonts w:ascii="Arial" w:eastAsia="Times New Roman" w:hAnsi="Arial" w:cs="Arial"/>
          <w:b/>
          <w:bCs/>
          <w:color w:val="022A4C"/>
          <w:sz w:val="18"/>
          <w:szCs w:val="18"/>
        </w:rPr>
        <w:t>[SMS]</w:t>
      </w:r>
      <w:r>
        <w:rPr>
          <w:rFonts w:ascii="Arial" w:eastAsia="Times New Roman" w:hAnsi="Arial" w:cs="Arial"/>
          <w:color w:val="022A4C"/>
          <w:sz w:val="18"/>
          <w:szCs w:val="18"/>
        </w:rPr>
        <w:t xml:space="preserve"> symbol, is considered to have a baseline SMS in place. </w:t>
      </w:r>
    </w:p>
    <w:p w:rsidR="00384E50" w:rsidRDefault="00384E50">
      <w:pPr>
        <w:divId w:val="769817986"/>
        <w:rPr>
          <w:rFonts w:ascii="Arial" w:eastAsia="Times New Roman" w:hAnsi="Arial" w:cs="Arial"/>
          <w:color w:val="022A4C"/>
          <w:sz w:val="18"/>
          <w:szCs w:val="18"/>
        </w:rPr>
      </w:pPr>
      <w:r>
        <w:rPr>
          <w:rFonts w:ascii="Arial" w:eastAsia="Times New Roman" w:hAnsi="Arial" w:cs="Arial"/>
          <w:color w:val="022A4C"/>
          <w:sz w:val="18"/>
          <w:szCs w:val="18"/>
        </w:rPr>
        <w:t xml:space="preserve">Such baseline SMS might not meet the SMS requirements of all states because certain states, in accordance with their individual SSP, could add requirements above those contained in the ICAO framework. Additionally, some states might mandate operators to implement SMS using a multiphase approach. In either case, having the basic SMS elements implemented in accordance with the ISSA standards should facilitate compliance with individual state SMS requirements. </w:t>
      </w:r>
    </w:p>
    <w:p w:rsidR="00384E50" w:rsidRDefault="00384E50">
      <w:pPr>
        <w:divId w:val="578518746"/>
        <w:rPr>
          <w:rFonts w:ascii="Arial" w:eastAsia="Times New Roman" w:hAnsi="Arial" w:cs="Arial"/>
          <w:color w:val="022A4C"/>
          <w:sz w:val="18"/>
          <w:szCs w:val="18"/>
        </w:rPr>
      </w:pPr>
      <w:r>
        <w:rPr>
          <w:rFonts w:ascii="Arial" w:eastAsia="Times New Roman" w:hAnsi="Arial" w:cs="Arial"/>
          <w:b/>
          <w:bCs/>
          <w:i/>
          <w:iCs/>
          <w:color w:val="022A4C"/>
          <w:sz w:val="18"/>
          <w:szCs w:val="18"/>
        </w:rPr>
        <w:t>SMS Upgrades</w:t>
      </w:r>
    </w:p>
    <w:p w:rsidR="00384E50" w:rsidRDefault="00384E50">
      <w:pPr>
        <w:divId w:val="751514686"/>
        <w:rPr>
          <w:rFonts w:ascii="Arial" w:eastAsia="Times New Roman" w:hAnsi="Arial" w:cs="Arial"/>
          <w:color w:val="022A4C"/>
          <w:sz w:val="18"/>
          <w:szCs w:val="18"/>
        </w:rPr>
      </w:pPr>
      <w:r>
        <w:rPr>
          <w:rFonts w:ascii="Arial" w:eastAsia="Times New Roman" w:hAnsi="Arial" w:cs="Arial"/>
          <w:color w:val="022A4C"/>
          <w:sz w:val="18"/>
          <w:szCs w:val="18"/>
        </w:rPr>
        <w:t xml:space="preserve">In accordance with the IATA SMS Strategy, all ISSA SMS recommended practices are being incrementally upgraded to standards such that, with the ISSM revision that will be effective on 1 April 2025, all ISSA SMS provisions will have been upgraded to standards (i.e. “shall”). </w:t>
      </w:r>
    </w:p>
    <w:p w:rsidR="00384E50" w:rsidRDefault="00384E50" w:rsidP="00384E50">
      <w:pPr>
        <w:pStyle w:val="Heading2"/>
        <w:shd w:val="clear" w:color="auto" w:fill="1E32FA"/>
        <w:spacing w:after="0" w:afterAutospacing="0"/>
        <w:ind w:left="-50" w:right="-36"/>
        <w:divId w:val="1736391178"/>
        <w:rPr>
          <w:rFonts w:ascii="Arial" w:eastAsia="Times New Roman" w:hAnsi="Arial" w:cs="Arial"/>
          <w:color w:val="FFFFFF"/>
          <w:sz w:val="25"/>
          <w:szCs w:val="25"/>
        </w:rPr>
      </w:pPr>
      <w:r>
        <w:rPr>
          <w:rFonts w:ascii="Arial" w:eastAsia="Times New Roman" w:hAnsi="Arial" w:cs="Arial"/>
          <w:color w:val="FFFFFF"/>
          <w:sz w:val="25"/>
          <w:szCs w:val="25"/>
        </w:rPr>
        <w:t>9 ISSA Documentation System</w:t>
      </w:r>
    </w:p>
    <w:p w:rsidR="00384E50" w:rsidRDefault="00384E50">
      <w:pPr>
        <w:divId w:val="1736391178"/>
        <w:rPr>
          <w:rFonts w:ascii="Arial" w:eastAsia="Times New Roman" w:hAnsi="Arial" w:cs="Arial"/>
          <w:color w:val="022A4C"/>
          <w:sz w:val="18"/>
          <w:szCs w:val="18"/>
        </w:rPr>
      </w:pPr>
    </w:p>
    <w:p w:rsidR="00384E50" w:rsidRDefault="00384E50">
      <w:pPr>
        <w:divId w:val="761877188"/>
        <w:rPr>
          <w:rFonts w:ascii="Arial" w:eastAsia="Times New Roman" w:hAnsi="Arial" w:cs="Arial"/>
          <w:color w:val="022A4C"/>
          <w:sz w:val="18"/>
          <w:szCs w:val="18"/>
        </w:rPr>
      </w:pPr>
      <w:r>
        <w:rPr>
          <w:rFonts w:ascii="Arial" w:eastAsia="Times New Roman" w:hAnsi="Arial" w:cs="Arial"/>
          <w:color w:val="022A4C"/>
          <w:sz w:val="18"/>
          <w:szCs w:val="18"/>
        </w:rPr>
        <w:t xml:space="preserve">The ISSM is used in association with the following related manuals: </w:t>
      </w:r>
    </w:p>
    <w:p w:rsidR="00384E50" w:rsidRDefault="00384E50">
      <w:pPr>
        <w:pStyle w:val="iatalistitem"/>
        <w:numPr>
          <w:ilvl w:val="0"/>
          <w:numId w:val="6"/>
        </w:numPr>
        <w:divId w:val="761877188"/>
        <w:rPr>
          <w:rFonts w:ascii="Arial" w:eastAsia="Times New Roman" w:hAnsi="Arial" w:cs="Arial"/>
          <w:color w:val="022A4C"/>
          <w:sz w:val="18"/>
          <w:szCs w:val="18"/>
        </w:rPr>
      </w:pPr>
      <w:r>
        <w:rPr>
          <w:rFonts w:ascii="Arial" w:eastAsia="Times New Roman" w:hAnsi="Arial" w:cs="Arial"/>
          <w:color w:val="022A4C"/>
          <w:sz w:val="18"/>
          <w:szCs w:val="18"/>
        </w:rPr>
        <w:t>ISSA Program Manual (ISPM);</w:t>
      </w:r>
    </w:p>
    <w:p w:rsidR="00384E50" w:rsidRDefault="00384E50">
      <w:pPr>
        <w:pStyle w:val="iatalistitem"/>
        <w:numPr>
          <w:ilvl w:val="0"/>
          <w:numId w:val="6"/>
        </w:numPr>
        <w:divId w:val="761877188"/>
        <w:rPr>
          <w:rFonts w:ascii="Arial" w:eastAsia="Times New Roman" w:hAnsi="Arial" w:cs="Arial"/>
          <w:color w:val="022A4C"/>
          <w:sz w:val="18"/>
          <w:szCs w:val="18"/>
        </w:rPr>
      </w:pPr>
      <w:r>
        <w:rPr>
          <w:rFonts w:ascii="Arial" w:eastAsia="Times New Roman" w:hAnsi="Arial" w:cs="Arial"/>
          <w:color w:val="022A4C"/>
          <w:sz w:val="18"/>
          <w:szCs w:val="18"/>
        </w:rPr>
        <w:t>IOSA Program Manual (IPM);</w:t>
      </w:r>
    </w:p>
    <w:p w:rsidR="00384E50" w:rsidRDefault="00384E50">
      <w:pPr>
        <w:pStyle w:val="iatalistitem"/>
        <w:numPr>
          <w:ilvl w:val="0"/>
          <w:numId w:val="6"/>
        </w:numPr>
        <w:divId w:val="761877188"/>
        <w:rPr>
          <w:rFonts w:ascii="Arial" w:eastAsia="Times New Roman" w:hAnsi="Arial" w:cs="Arial"/>
          <w:color w:val="022A4C"/>
          <w:sz w:val="18"/>
          <w:szCs w:val="18"/>
        </w:rPr>
      </w:pPr>
      <w:r>
        <w:rPr>
          <w:rFonts w:ascii="Arial" w:eastAsia="Times New Roman" w:hAnsi="Arial" w:cs="Arial"/>
          <w:color w:val="022A4C"/>
          <w:sz w:val="18"/>
          <w:szCs w:val="18"/>
        </w:rPr>
        <w:t>IATA Reference Manual for Audit Programs (IRM);</w:t>
      </w:r>
    </w:p>
    <w:p w:rsidR="00384E50" w:rsidRDefault="00384E50">
      <w:pPr>
        <w:pStyle w:val="iatalistitem"/>
        <w:numPr>
          <w:ilvl w:val="0"/>
          <w:numId w:val="6"/>
        </w:numPr>
        <w:divId w:val="761877188"/>
        <w:rPr>
          <w:rFonts w:ascii="Arial" w:eastAsia="Times New Roman" w:hAnsi="Arial" w:cs="Arial"/>
          <w:color w:val="022A4C"/>
          <w:sz w:val="18"/>
          <w:szCs w:val="18"/>
        </w:rPr>
      </w:pPr>
      <w:r>
        <w:rPr>
          <w:rFonts w:ascii="Arial" w:eastAsia="Times New Roman" w:hAnsi="Arial" w:cs="Arial"/>
          <w:color w:val="022A4C"/>
          <w:sz w:val="18"/>
          <w:szCs w:val="18"/>
        </w:rPr>
        <w:t>IOSA Audit Handbook (IAH).</w:t>
      </w:r>
    </w:p>
    <w:p w:rsidR="00384E50" w:rsidRDefault="00384E50">
      <w:pPr>
        <w:divId w:val="1340154818"/>
        <w:rPr>
          <w:rFonts w:ascii="Arial" w:eastAsia="Times New Roman" w:hAnsi="Arial" w:cs="Arial"/>
          <w:color w:val="022A4C"/>
          <w:sz w:val="18"/>
          <w:szCs w:val="18"/>
        </w:rPr>
      </w:pPr>
      <w:r>
        <w:rPr>
          <w:rFonts w:ascii="Arial" w:eastAsia="Times New Roman" w:hAnsi="Arial" w:cs="Arial"/>
          <w:color w:val="022A4C"/>
          <w:sz w:val="18"/>
          <w:szCs w:val="18"/>
        </w:rPr>
        <w:t>The ISPM, IPM, IRM and IAH comprise the ISSA documentation system.</w:t>
      </w:r>
    </w:p>
    <w:p w:rsidR="00384E50" w:rsidRDefault="00384E50" w:rsidP="00384E50">
      <w:pPr>
        <w:pStyle w:val="Heading2"/>
        <w:shd w:val="clear" w:color="auto" w:fill="1E32FA"/>
        <w:spacing w:after="0" w:afterAutospacing="0"/>
        <w:ind w:left="-50" w:right="-36"/>
        <w:divId w:val="1133062700"/>
        <w:rPr>
          <w:rFonts w:ascii="Arial" w:eastAsia="Times New Roman" w:hAnsi="Arial" w:cs="Arial"/>
          <w:color w:val="FFFFFF"/>
          <w:sz w:val="25"/>
          <w:szCs w:val="25"/>
        </w:rPr>
      </w:pPr>
      <w:r>
        <w:rPr>
          <w:rFonts w:ascii="Arial" w:eastAsia="Times New Roman" w:hAnsi="Arial" w:cs="Arial"/>
          <w:color w:val="FFFFFF"/>
          <w:sz w:val="25"/>
          <w:szCs w:val="25"/>
        </w:rPr>
        <w:t>10 English Language</w:t>
      </w:r>
    </w:p>
    <w:p w:rsidR="00384E50" w:rsidRDefault="00384E50">
      <w:pPr>
        <w:divId w:val="1133062700"/>
        <w:rPr>
          <w:rFonts w:ascii="Arial" w:eastAsia="Times New Roman" w:hAnsi="Arial" w:cs="Arial"/>
          <w:color w:val="022A4C"/>
          <w:sz w:val="18"/>
          <w:szCs w:val="18"/>
        </w:rPr>
      </w:pPr>
    </w:p>
    <w:p w:rsidR="00384E50" w:rsidRDefault="00384E50">
      <w:pPr>
        <w:divId w:val="755130475"/>
        <w:rPr>
          <w:rFonts w:ascii="Arial" w:eastAsia="Times New Roman" w:hAnsi="Arial" w:cs="Arial"/>
          <w:color w:val="022A4C"/>
          <w:sz w:val="18"/>
          <w:szCs w:val="18"/>
        </w:rPr>
      </w:pPr>
      <w:r>
        <w:rPr>
          <w:rFonts w:ascii="Arial" w:eastAsia="Times New Roman" w:hAnsi="Arial" w:cs="Arial"/>
          <w:color w:val="022A4C"/>
          <w:sz w:val="18"/>
          <w:szCs w:val="18"/>
        </w:rPr>
        <w:t xml:space="preserve">English is the official language of the ISSA Program; documents comprising the ISSA Documentation System are written in International English* in accordance with IATA policy. </w:t>
      </w:r>
    </w:p>
    <w:p w:rsidR="00384E50" w:rsidRDefault="00384E50">
      <w:pPr>
        <w:divId w:val="2088841478"/>
        <w:rPr>
          <w:rFonts w:ascii="Arial" w:eastAsia="Times New Roman" w:hAnsi="Arial" w:cs="Arial"/>
          <w:color w:val="022A4C"/>
          <w:sz w:val="18"/>
          <w:szCs w:val="18"/>
        </w:rPr>
      </w:pPr>
      <w:r>
        <w:rPr>
          <w:rFonts w:ascii="Arial" w:eastAsia="Times New Roman" w:hAnsi="Arial" w:cs="Arial"/>
          <w:color w:val="022A4C"/>
          <w:sz w:val="18"/>
          <w:szCs w:val="18"/>
        </w:rPr>
        <w:t xml:space="preserve">The ISSA Program Manual requires auditors to ensure the English language version of this ISSM and/or ISSA Checklists is always used as the basis for a final determination of conformity or nonconformity with ISARPs during the </w:t>
      </w:r>
      <w:r>
        <w:rPr>
          <w:rFonts w:ascii="Arial" w:eastAsia="Times New Roman" w:hAnsi="Arial" w:cs="Arial"/>
          <w:color w:val="022A4C"/>
          <w:sz w:val="18"/>
          <w:szCs w:val="18"/>
        </w:rPr>
        <w:lastRenderedPageBreak/>
        <w:t xml:space="preserve">conduct of an assessment. Versions of the ISSM or ISSA Checklists that have been translated into another language are subject to misinterpretation; therefore, any translated ISSA document is considered an unofficial reference. </w:t>
      </w:r>
    </w:p>
    <w:p w:rsidR="00384E50" w:rsidRDefault="00384E50">
      <w:pPr>
        <w:divId w:val="999424248"/>
        <w:rPr>
          <w:rFonts w:ascii="Arial" w:eastAsia="Times New Roman" w:hAnsi="Arial" w:cs="Arial"/>
          <w:color w:val="022A4C"/>
          <w:sz w:val="18"/>
          <w:szCs w:val="18"/>
        </w:rPr>
      </w:pPr>
      <w:r>
        <w:rPr>
          <w:rFonts w:ascii="Arial" w:eastAsia="Times New Roman" w:hAnsi="Arial" w:cs="Arial"/>
          <w:color w:val="022A4C"/>
          <w:sz w:val="18"/>
          <w:szCs w:val="18"/>
        </w:rPr>
        <w:t xml:space="preserve">* Refer to the IRM for the definition of </w:t>
      </w:r>
      <w:r>
        <w:rPr>
          <w:rFonts w:ascii="Arial" w:eastAsia="Times New Roman" w:hAnsi="Arial" w:cs="Arial"/>
          <w:i/>
          <w:iCs/>
          <w:color w:val="022A4C"/>
          <w:sz w:val="18"/>
          <w:szCs w:val="18"/>
        </w:rPr>
        <w:t>International English</w:t>
      </w:r>
      <w:r>
        <w:rPr>
          <w:rFonts w:ascii="Arial" w:eastAsia="Times New Roman" w:hAnsi="Arial" w:cs="Arial"/>
          <w:color w:val="022A4C"/>
          <w:sz w:val="18"/>
          <w:szCs w:val="18"/>
        </w:rPr>
        <w:t xml:space="preserve">. The official reference for International English in accordance with IATA policy is the online Merriam-Webster Dictionary (http://www.merriam-webster.com). </w:t>
      </w:r>
    </w:p>
    <w:p w:rsidR="00384E50" w:rsidRDefault="00384E50" w:rsidP="00384E50">
      <w:pPr>
        <w:pStyle w:val="Heading2"/>
        <w:shd w:val="clear" w:color="auto" w:fill="1E32FA"/>
        <w:spacing w:after="0" w:afterAutospacing="0"/>
        <w:ind w:left="-50" w:right="-36"/>
        <w:divId w:val="247740139"/>
        <w:rPr>
          <w:rFonts w:ascii="Arial" w:eastAsia="Times New Roman" w:hAnsi="Arial" w:cs="Arial"/>
          <w:color w:val="FFFFFF"/>
          <w:sz w:val="25"/>
          <w:szCs w:val="25"/>
        </w:rPr>
      </w:pPr>
      <w:r>
        <w:rPr>
          <w:rFonts w:ascii="Arial" w:eastAsia="Times New Roman" w:hAnsi="Arial" w:cs="Arial"/>
          <w:color w:val="FFFFFF"/>
          <w:sz w:val="25"/>
          <w:szCs w:val="25"/>
        </w:rPr>
        <w:t>11 Manual Revisions</w:t>
      </w:r>
    </w:p>
    <w:p w:rsidR="00384E50" w:rsidRDefault="00384E50">
      <w:pPr>
        <w:divId w:val="247740139"/>
        <w:rPr>
          <w:rFonts w:ascii="Arial" w:eastAsia="Times New Roman" w:hAnsi="Arial" w:cs="Arial"/>
          <w:color w:val="022A4C"/>
          <w:sz w:val="18"/>
          <w:szCs w:val="18"/>
        </w:rPr>
      </w:pPr>
    </w:p>
    <w:p w:rsidR="00384E50" w:rsidRDefault="00384E50">
      <w:pPr>
        <w:divId w:val="1672298461"/>
        <w:rPr>
          <w:rFonts w:ascii="Arial" w:eastAsia="Times New Roman" w:hAnsi="Arial" w:cs="Arial"/>
          <w:color w:val="022A4C"/>
          <w:sz w:val="18"/>
          <w:szCs w:val="18"/>
        </w:rPr>
      </w:pPr>
      <w:r>
        <w:rPr>
          <w:rFonts w:ascii="Arial" w:eastAsia="Times New Roman" w:hAnsi="Arial" w:cs="Arial"/>
          <w:color w:val="022A4C"/>
          <w:sz w:val="18"/>
          <w:szCs w:val="18"/>
        </w:rPr>
        <w:t xml:space="preserve">The ISSM Part I is normally revised annually. In accordance with IATA policy, a revision to the ISSM Part I will always result in a new edition of the ISSM. </w:t>
      </w:r>
    </w:p>
    <w:p w:rsidR="00384E50" w:rsidRDefault="00384E50">
      <w:pPr>
        <w:divId w:val="242572889"/>
        <w:rPr>
          <w:rFonts w:ascii="Arial" w:eastAsia="Times New Roman" w:hAnsi="Arial" w:cs="Arial"/>
          <w:color w:val="022A4C"/>
          <w:sz w:val="18"/>
          <w:szCs w:val="18"/>
        </w:rPr>
      </w:pPr>
      <w:r>
        <w:rPr>
          <w:rFonts w:ascii="Arial" w:eastAsia="Times New Roman" w:hAnsi="Arial" w:cs="Arial"/>
          <w:color w:val="022A4C"/>
          <w:sz w:val="18"/>
          <w:szCs w:val="18"/>
        </w:rPr>
        <w:t xml:space="preserve">The time period between the issuance of a new edition of the ISSM Part I and the effective date of such new edition is typically four full months. </w:t>
      </w:r>
    </w:p>
    <w:p w:rsidR="00384E50" w:rsidRDefault="00384E50">
      <w:pPr>
        <w:divId w:val="259678872"/>
        <w:rPr>
          <w:rFonts w:ascii="Arial" w:eastAsia="Times New Roman" w:hAnsi="Arial" w:cs="Arial"/>
          <w:color w:val="022A4C"/>
          <w:sz w:val="18"/>
          <w:szCs w:val="18"/>
        </w:rPr>
      </w:pPr>
      <w:r>
        <w:rPr>
          <w:rFonts w:ascii="Arial" w:eastAsia="Times New Roman" w:hAnsi="Arial" w:cs="Arial"/>
          <w:color w:val="022A4C"/>
          <w:sz w:val="18"/>
          <w:szCs w:val="18"/>
        </w:rPr>
        <w:t xml:space="preserve">Should critical issues arise that affect the content of the ISSM Part I, a revision to the current edition of the ISSM Part I will be issued. </w:t>
      </w:r>
    </w:p>
    <w:p w:rsidR="00384E50" w:rsidRDefault="00384E50">
      <w:pPr>
        <w:divId w:val="325128792"/>
        <w:rPr>
          <w:rFonts w:ascii="Arial" w:eastAsia="Times New Roman" w:hAnsi="Arial" w:cs="Arial"/>
          <w:color w:val="022A4C"/>
          <w:sz w:val="18"/>
          <w:szCs w:val="18"/>
        </w:rPr>
      </w:pPr>
      <w:r>
        <w:rPr>
          <w:rFonts w:ascii="Arial" w:eastAsia="Times New Roman" w:hAnsi="Arial" w:cs="Arial"/>
          <w:b/>
          <w:bCs/>
          <w:i/>
          <w:iCs/>
          <w:color w:val="022A4C"/>
          <w:sz w:val="18"/>
          <w:szCs w:val="18"/>
        </w:rPr>
        <w:t>Usable Edition</w:t>
      </w:r>
    </w:p>
    <w:p w:rsidR="00384E50" w:rsidRDefault="00384E50">
      <w:pPr>
        <w:divId w:val="900095484"/>
        <w:rPr>
          <w:rFonts w:ascii="Arial" w:eastAsia="Times New Roman" w:hAnsi="Arial" w:cs="Arial"/>
          <w:color w:val="022A4C"/>
          <w:sz w:val="18"/>
          <w:szCs w:val="18"/>
        </w:rPr>
      </w:pPr>
      <w:r>
        <w:rPr>
          <w:rFonts w:ascii="Arial" w:eastAsia="Times New Roman" w:hAnsi="Arial" w:cs="Arial"/>
          <w:color w:val="022A4C"/>
          <w:sz w:val="18"/>
          <w:szCs w:val="18"/>
        </w:rPr>
        <w:t>For an ISSA assessment, the Operator normally determines the edition of the ISSM Part I that will be used for an assessment.</w:t>
      </w:r>
    </w:p>
    <w:p w:rsidR="00384E50" w:rsidRDefault="00384E50">
      <w:pPr>
        <w:divId w:val="2032220618"/>
        <w:rPr>
          <w:rFonts w:ascii="Arial" w:eastAsia="Times New Roman" w:hAnsi="Arial" w:cs="Arial"/>
          <w:color w:val="022A4C"/>
          <w:sz w:val="18"/>
          <w:szCs w:val="18"/>
        </w:rPr>
      </w:pPr>
      <w:r>
        <w:rPr>
          <w:rFonts w:ascii="Arial" w:eastAsia="Times New Roman" w:hAnsi="Arial" w:cs="Arial"/>
          <w:color w:val="022A4C"/>
          <w:sz w:val="18"/>
          <w:szCs w:val="18"/>
        </w:rPr>
        <w:t xml:space="preserve">The Operator has the option to select either: </w:t>
      </w:r>
    </w:p>
    <w:p w:rsidR="00384E50" w:rsidRDefault="00384E50">
      <w:pPr>
        <w:pStyle w:val="iatalistitem"/>
        <w:numPr>
          <w:ilvl w:val="0"/>
          <w:numId w:val="7"/>
        </w:numPr>
        <w:divId w:val="2032220618"/>
        <w:rPr>
          <w:rFonts w:ascii="Arial" w:eastAsia="Times New Roman" w:hAnsi="Arial" w:cs="Arial"/>
          <w:color w:val="022A4C"/>
          <w:sz w:val="18"/>
          <w:szCs w:val="18"/>
        </w:rPr>
      </w:pPr>
      <w:r>
        <w:rPr>
          <w:rFonts w:ascii="Arial" w:eastAsia="Times New Roman" w:hAnsi="Arial" w:cs="Arial"/>
          <w:color w:val="022A4C"/>
          <w:sz w:val="18"/>
          <w:szCs w:val="18"/>
        </w:rPr>
        <w:t>The edition that is effective on the day before the on-site phase of the assessment is scheduled to begin, or</w:t>
      </w:r>
    </w:p>
    <w:p w:rsidR="00384E50" w:rsidRDefault="00384E50">
      <w:pPr>
        <w:pStyle w:val="iatalistitem"/>
        <w:numPr>
          <w:ilvl w:val="0"/>
          <w:numId w:val="7"/>
        </w:numPr>
        <w:divId w:val="2032220618"/>
        <w:rPr>
          <w:rFonts w:ascii="Arial" w:eastAsia="Times New Roman" w:hAnsi="Arial" w:cs="Arial"/>
          <w:color w:val="022A4C"/>
          <w:sz w:val="18"/>
          <w:szCs w:val="18"/>
        </w:rPr>
      </w:pPr>
      <w:r>
        <w:rPr>
          <w:rFonts w:ascii="Arial" w:eastAsia="Times New Roman" w:hAnsi="Arial" w:cs="Arial"/>
          <w:color w:val="022A4C"/>
          <w:sz w:val="18"/>
          <w:szCs w:val="18"/>
        </w:rPr>
        <w:t xml:space="preserve">An edition that has been published prior to the day the on-site phase of the assessment is scheduled to begin, but has not yet become effective. </w:t>
      </w:r>
    </w:p>
    <w:p w:rsidR="00384E50" w:rsidRDefault="00384E50" w:rsidP="00384E50">
      <w:pPr>
        <w:pStyle w:val="Heading2"/>
        <w:shd w:val="clear" w:color="auto" w:fill="1E32FA"/>
        <w:spacing w:after="0" w:afterAutospacing="0"/>
        <w:ind w:left="-50" w:right="-36"/>
        <w:divId w:val="496310682"/>
        <w:rPr>
          <w:rFonts w:ascii="Arial" w:eastAsia="Times New Roman" w:hAnsi="Arial" w:cs="Arial"/>
          <w:color w:val="FFFFFF"/>
          <w:sz w:val="25"/>
          <w:szCs w:val="25"/>
        </w:rPr>
      </w:pPr>
      <w:r>
        <w:rPr>
          <w:rFonts w:ascii="Arial" w:eastAsia="Times New Roman" w:hAnsi="Arial" w:cs="Arial"/>
          <w:color w:val="FFFFFF"/>
          <w:sz w:val="25"/>
          <w:szCs w:val="25"/>
        </w:rPr>
        <w:t xml:space="preserve">12 Modification Status </w:t>
      </w:r>
    </w:p>
    <w:p w:rsidR="00384E50" w:rsidRDefault="00384E50">
      <w:pPr>
        <w:divId w:val="496310682"/>
        <w:rPr>
          <w:rFonts w:ascii="Arial" w:eastAsia="Times New Roman" w:hAnsi="Arial" w:cs="Arial"/>
          <w:color w:val="022A4C"/>
          <w:sz w:val="18"/>
          <w:szCs w:val="18"/>
        </w:rPr>
      </w:pPr>
    </w:p>
    <w:p w:rsidR="00384E50" w:rsidRDefault="00384E50">
      <w:pPr>
        <w:divId w:val="1980912921"/>
        <w:rPr>
          <w:rFonts w:ascii="Arial" w:eastAsia="Times New Roman" w:hAnsi="Arial" w:cs="Arial"/>
          <w:color w:val="022A4C"/>
          <w:sz w:val="18"/>
          <w:szCs w:val="18"/>
        </w:rPr>
      </w:pPr>
      <w:r>
        <w:rPr>
          <w:rFonts w:ascii="Arial" w:eastAsia="Times New Roman" w:hAnsi="Arial" w:cs="Arial"/>
          <w:color w:val="022A4C"/>
          <w:sz w:val="18"/>
          <w:szCs w:val="18"/>
        </w:rPr>
        <w:t xml:space="preserve">All changes in this document are listed in the revision highlights table. For easier orientation, the following symbols identify any changes made within each section: </w:t>
      </w:r>
    </w:p>
    <w:tbl>
      <w:tblPr>
        <w:tblStyle w:val="TableGrid"/>
        <w:tblW w:w="5000" w:type="pct"/>
        <w:tblLook w:val="04A0" w:firstRow="1" w:lastRow="0" w:firstColumn="1" w:lastColumn="0" w:noHBand="0" w:noVBand="1"/>
      </w:tblPr>
      <w:tblGrid>
        <w:gridCol w:w="955"/>
        <w:gridCol w:w="1334"/>
        <w:gridCol w:w="7287"/>
      </w:tblGrid>
      <w:tr w:rsidR="00000000" w:rsidTr="00384E50">
        <w:trPr>
          <w:divId w:val="1516075397"/>
        </w:trPr>
        <w:tc>
          <w:tcPr>
            <w:tcW w:w="0" w:type="auto"/>
            <w:hideMark/>
          </w:tcPr>
          <w:p w:rsidR="00384E50" w:rsidRDefault="00384E5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84E50" w:rsidRDefault="00384E50">
            <w:pPr>
              <w:spacing w:before="300"/>
              <w:rPr>
                <w:rFonts w:ascii="Arial" w:eastAsia="Times New Roman" w:hAnsi="Arial" w:cs="Arial"/>
                <w:sz w:val="18"/>
                <w:szCs w:val="18"/>
              </w:rPr>
            </w:pPr>
            <w:r>
              <w:rPr>
                <w:rStyle w:val="iatafont1"/>
                <w:rFonts w:ascii="Times New Roman" w:eastAsia="Times New Roman" w:hAnsi="Times New Roman"/>
                <w:sz w:val="18"/>
                <w:szCs w:val="18"/>
              </w:rPr>
              <w:t>□</w:t>
            </w:r>
          </w:p>
        </w:tc>
        <w:tc>
          <w:tcPr>
            <w:tcW w:w="0" w:type="auto"/>
            <w:hideMark/>
          </w:tcPr>
          <w:p w:rsidR="00384E50" w:rsidRDefault="00384E50">
            <w:pPr>
              <w:spacing w:before="300"/>
              <w:rPr>
                <w:rFonts w:ascii="Arial" w:eastAsia="Times New Roman" w:hAnsi="Arial" w:cs="Arial"/>
                <w:sz w:val="18"/>
                <w:szCs w:val="18"/>
              </w:rPr>
            </w:pPr>
            <w:r>
              <w:rPr>
                <w:rFonts w:ascii="Arial" w:eastAsia="Times New Roman" w:hAnsi="Arial" w:cs="Arial"/>
                <w:sz w:val="18"/>
                <w:szCs w:val="18"/>
              </w:rPr>
              <w:t>Addition of a new item.</w:t>
            </w:r>
          </w:p>
        </w:tc>
      </w:tr>
      <w:tr w:rsidR="00000000" w:rsidTr="00384E50">
        <w:trPr>
          <w:divId w:val="1516075397"/>
        </w:trPr>
        <w:tc>
          <w:tcPr>
            <w:tcW w:w="0" w:type="auto"/>
            <w:hideMark/>
          </w:tcPr>
          <w:p w:rsidR="00384E50" w:rsidRDefault="00384E5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84E50" w:rsidRDefault="00384E50">
            <w:pPr>
              <w:spacing w:before="300"/>
              <w:rPr>
                <w:rFonts w:ascii="Arial" w:eastAsia="Times New Roman" w:hAnsi="Arial" w:cs="Arial"/>
                <w:sz w:val="18"/>
                <w:szCs w:val="18"/>
              </w:rPr>
            </w:pPr>
            <w:r>
              <w:rPr>
                <w:rStyle w:val="iatafont1"/>
                <w:rFonts w:ascii="Cambria Math" w:eastAsia="Times New Roman" w:hAnsi="Cambria Math" w:cs="Cambria Math"/>
                <w:sz w:val="18"/>
                <w:szCs w:val="18"/>
              </w:rPr>
              <w:t>△</w:t>
            </w:r>
          </w:p>
        </w:tc>
        <w:tc>
          <w:tcPr>
            <w:tcW w:w="0" w:type="auto"/>
            <w:hideMark/>
          </w:tcPr>
          <w:p w:rsidR="00384E50" w:rsidRDefault="00384E50">
            <w:pPr>
              <w:spacing w:before="300"/>
              <w:rPr>
                <w:rFonts w:ascii="Arial" w:eastAsia="Times New Roman" w:hAnsi="Arial" w:cs="Arial"/>
                <w:sz w:val="18"/>
                <w:szCs w:val="18"/>
              </w:rPr>
            </w:pPr>
            <w:r>
              <w:rPr>
                <w:rFonts w:ascii="Arial" w:eastAsia="Times New Roman" w:hAnsi="Arial" w:cs="Arial"/>
                <w:sz w:val="18"/>
                <w:szCs w:val="18"/>
              </w:rPr>
              <w:t>Change to an item.</w:t>
            </w:r>
          </w:p>
        </w:tc>
      </w:tr>
      <w:tr w:rsidR="00000000" w:rsidTr="00384E50">
        <w:trPr>
          <w:divId w:val="1516075397"/>
        </w:trPr>
        <w:tc>
          <w:tcPr>
            <w:tcW w:w="0" w:type="auto"/>
            <w:hideMark/>
          </w:tcPr>
          <w:p w:rsidR="00384E50" w:rsidRDefault="00384E5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84E50" w:rsidRDefault="00384E50">
            <w:pPr>
              <w:spacing w:before="300"/>
              <w:rPr>
                <w:rFonts w:ascii="Arial" w:eastAsia="Times New Roman" w:hAnsi="Arial" w:cs="Arial"/>
                <w:sz w:val="18"/>
                <w:szCs w:val="18"/>
              </w:rPr>
            </w:pPr>
            <w:r>
              <w:rPr>
                <w:rStyle w:val="iatafont1"/>
                <w:rFonts w:ascii="Cambria Math" w:eastAsia="Times New Roman" w:hAnsi="Cambria Math" w:cs="Cambria Math"/>
                <w:sz w:val="18"/>
                <w:szCs w:val="18"/>
              </w:rPr>
              <w:t>⨂</w:t>
            </w:r>
          </w:p>
        </w:tc>
        <w:tc>
          <w:tcPr>
            <w:tcW w:w="0" w:type="auto"/>
            <w:hideMark/>
          </w:tcPr>
          <w:p w:rsidR="00384E50" w:rsidRDefault="00384E50">
            <w:pPr>
              <w:spacing w:before="300"/>
              <w:rPr>
                <w:rFonts w:ascii="Arial" w:eastAsia="Times New Roman" w:hAnsi="Arial" w:cs="Arial"/>
                <w:sz w:val="18"/>
                <w:szCs w:val="18"/>
              </w:rPr>
            </w:pPr>
            <w:r>
              <w:rPr>
                <w:rFonts w:ascii="Arial" w:eastAsia="Times New Roman" w:hAnsi="Arial" w:cs="Arial"/>
                <w:sz w:val="18"/>
                <w:szCs w:val="18"/>
              </w:rPr>
              <w:t>Deletion of an item.</w:t>
            </w:r>
          </w:p>
        </w:tc>
      </w:tr>
    </w:tbl>
    <w:p w:rsidR="00384E50" w:rsidRDefault="00384E50" w:rsidP="00384E50">
      <w:pPr>
        <w:pStyle w:val="Heading2"/>
        <w:shd w:val="clear" w:color="auto" w:fill="1E32FA"/>
        <w:spacing w:after="0" w:afterAutospacing="0"/>
        <w:ind w:left="-50" w:right="-36"/>
        <w:divId w:val="1318418421"/>
        <w:rPr>
          <w:rFonts w:ascii="Arial" w:eastAsia="Times New Roman" w:hAnsi="Arial" w:cs="Arial"/>
          <w:color w:val="FFFFFF"/>
          <w:sz w:val="25"/>
          <w:szCs w:val="25"/>
        </w:rPr>
      </w:pPr>
      <w:r>
        <w:rPr>
          <w:rFonts w:ascii="Arial" w:eastAsia="Times New Roman" w:hAnsi="Arial" w:cs="Arial"/>
          <w:color w:val="FFFFFF"/>
          <w:sz w:val="25"/>
          <w:szCs w:val="25"/>
        </w:rPr>
        <w:t>13 Conflicting Information</w:t>
      </w:r>
    </w:p>
    <w:p w:rsidR="00384E50" w:rsidRDefault="00384E50">
      <w:pPr>
        <w:divId w:val="1318418421"/>
        <w:rPr>
          <w:rFonts w:ascii="Arial" w:eastAsia="Times New Roman" w:hAnsi="Arial" w:cs="Arial"/>
          <w:color w:val="022A4C"/>
          <w:sz w:val="18"/>
          <w:szCs w:val="18"/>
        </w:rPr>
      </w:pPr>
    </w:p>
    <w:p w:rsidR="00384E50" w:rsidRDefault="00384E50">
      <w:pPr>
        <w:divId w:val="694307401"/>
        <w:rPr>
          <w:rFonts w:ascii="Arial" w:eastAsia="Times New Roman" w:hAnsi="Arial" w:cs="Arial"/>
          <w:color w:val="022A4C"/>
          <w:sz w:val="18"/>
          <w:szCs w:val="18"/>
        </w:rPr>
      </w:pPr>
      <w:r>
        <w:rPr>
          <w:rFonts w:ascii="Arial" w:eastAsia="Times New Roman" w:hAnsi="Arial" w:cs="Arial"/>
          <w:color w:val="022A4C"/>
          <w:sz w:val="18"/>
          <w:szCs w:val="18"/>
        </w:rPr>
        <w:t xml:space="preserve">Manuals within the ISSA documentation system are not revised concurrently, thus creating the possibility of conflicting information in different manuals. If there are inconsistencies between the ISSA documentation, namely the ISSM, ISPM and IAH, IATA should be contacted for clarification and correction. </w:t>
      </w:r>
    </w:p>
    <w:p w:rsidR="00384E50" w:rsidRDefault="00384E50">
      <w:pPr>
        <w:divId w:val="1674606038"/>
        <w:rPr>
          <w:rFonts w:ascii="Arial" w:eastAsia="Times New Roman" w:hAnsi="Arial" w:cs="Arial"/>
          <w:color w:val="022A4C"/>
          <w:sz w:val="18"/>
          <w:szCs w:val="18"/>
        </w:rPr>
      </w:pPr>
      <w:r>
        <w:rPr>
          <w:rFonts w:ascii="Arial" w:eastAsia="Times New Roman" w:hAnsi="Arial" w:cs="Arial"/>
          <w:b/>
          <w:bCs/>
          <w:i/>
          <w:iCs/>
          <w:color w:val="022A4C"/>
          <w:sz w:val="18"/>
          <w:szCs w:val="18"/>
        </w:rPr>
        <w:t>IATA Dangerous Goods Regulations (DGR)</w:t>
      </w:r>
    </w:p>
    <w:p w:rsidR="00384E50" w:rsidRDefault="00384E50">
      <w:pPr>
        <w:divId w:val="1086606788"/>
        <w:rPr>
          <w:rFonts w:ascii="Arial" w:eastAsia="Times New Roman" w:hAnsi="Arial" w:cs="Arial"/>
          <w:color w:val="022A4C"/>
          <w:sz w:val="18"/>
          <w:szCs w:val="18"/>
        </w:rPr>
      </w:pPr>
      <w:r>
        <w:rPr>
          <w:rFonts w:ascii="Arial" w:eastAsia="Times New Roman" w:hAnsi="Arial" w:cs="Arial"/>
          <w:color w:val="022A4C"/>
          <w:sz w:val="18"/>
          <w:szCs w:val="18"/>
        </w:rPr>
        <w:t>The DGR is a manual that is published annually and is effective on 1 January of each calendar year.</w:t>
      </w:r>
    </w:p>
    <w:p w:rsidR="00384E50" w:rsidRDefault="00384E50">
      <w:pPr>
        <w:divId w:val="2063168495"/>
        <w:rPr>
          <w:rFonts w:ascii="Arial" w:eastAsia="Times New Roman" w:hAnsi="Arial" w:cs="Arial"/>
          <w:color w:val="022A4C"/>
          <w:sz w:val="18"/>
          <w:szCs w:val="18"/>
        </w:rPr>
      </w:pPr>
      <w:r>
        <w:rPr>
          <w:rFonts w:ascii="Arial" w:eastAsia="Times New Roman" w:hAnsi="Arial" w:cs="Arial"/>
          <w:color w:val="022A4C"/>
          <w:sz w:val="18"/>
          <w:szCs w:val="18"/>
        </w:rPr>
        <w:t xml:space="preserve">The ISSM may be published in a different month of the same year, which creates the potential for conflicting DGR - ISSM requirements. In the case of a DGR-ISSM conflict, the requirement contained in the current effective version of the DGR shall be considered valid. </w:t>
      </w:r>
    </w:p>
    <w:p w:rsidR="00384E50" w:rsidRDefault="00384E50" w:rsidP="00384E50">
      <w:pPr>
        <w:pStyle w:val="Heading2"/>
        <w:shd w:val="clear" w:color="auto" w:fill="1E32FA"/>
        <w:spacing w:after="0" w:afterAutospacing="0"/>
        <w:ind w:left="-50" w:right="-36"/>
        <w:divId w:val="1887057914"/>
        <w:rPr>
          <w:rFonts w:ascii="Arial" w:eastAsia="Times New Roman" w:hAnsi="Arial" w:cs="Arial"/>
          <w:color w:val="FFFFFF"/>
          <w:sz w:val="25"/>
          <w:szCs w:val="25"/>
        </w:rPr>
      </w:pPr>
      <w:r>
        <w:rPr>
          <w:rFonts w:ascii="Arial" w:eastAsia="Times New Roman" w:hAnsi="Arial" w:cs="Arial"/>
          <w:color w:val="FFFFFF"/>
          <w:sz w:val="25"/>
          <w:szCs w:val="25"/>
        </w:rPr>
        <w:t>14 Definitions and Abbreviations</w:t>
      </w:r>
    </w:p>
    <w:p w:rsidR="00384E50" w:rsidRDefault="00384E50">
      <w:pPr>
        <w:divId w:val="1887057914"/>
        <w:rPr>
          <w:rFonts w:ascii="Arial" w:eastAsia="Times New Roman" w:hAnsi="Arial" w:cs="Arial"/>
          <w:color w:val="022A4C"/>
          <w:sz w:val="18"/>
          <w:szCs w:val="18"/>
        </w:rPr>
      </w:pPr>
    </w:p>
    <w:p w:rsidR="00384E50" w:rsidRDefault="00384E50">
      <w:pPr>
        <w:divId w:val="601183591"/>
        <w:rPr>
          <w:rFonts w:ascii="Arial" w:eastAsia="Times New Roman" w:hAnsi="Arial" w:cs="Arial"/>
          <w:color w:val="022A4C"/>
          <w:sz w:val="18"/>
          <w:szCs w:val="18"/>
        </w:rPr>
      </w:pPr>
      <w:r>
        <w:rPr>
          <w:rFonts w:ascii="Arial" w:eastAsia="Times New Roman" w:hAnsi="Arial" w:cs="Arial"/>
          <w:color w:val="022A4C"/>
          <w:sz w:val="18"/>
          <w:szCs w:val="18"/>
        </w:rPr>
        <w:t xml:space="preserve">The IATA Reference Manual for Audit Programs (IRM) contains the Glossary of Terms and the List of Abbreviations that are associated with the audit programs. </w:t>
      </w:r>
    </w:p>
    <w:p w:rsidR="00384E50" w:rsidRDefault="00384E50" w:rsidP="00384E50">
      <w:pPr>
        <w:pStyle w:val="Heading2"/>
        <w:shd w:val="clear" w:color="auto" w:fill="1E32FA"/>
        <w:spacing w:after="0" w:afterAutospacing="0"/>
        <w:ind w:left="-50" w:right="-36"/>
        <w:divId w:val="1574772705"/>
        <w:rPr>
          <w:rFonts w:ascii="Arial" w:eastAsia="Times New Roman" w:hAnsi="Arial" w:cs="Arial"/>
          <w:color w:val="FFFFFF"/>
          <w:sz w:val="25"/>
          <w:szCs w:val="25"/>
        </w:rPr>
      </w:pPr>
      <w:r>
        <w:rPr>
          <w:rFonts w:ascii="Arial" w:eastAsia="Times New Roman" w:hAnsi="Arial" w:cs="Arial"/>
          <w:color w:val="FFFFFF"/>
          <w:sz w:val="25"/>
          <w:szCs w:val="25"/>
        </w:rPr>
        <w:t>15 ISSA Documents and Forms</w:t>
      </w:r>
    </w:p>
    <w:p w:rsidR="00384E50" w:rsidRDefault="00384E50">
      <w:pPr>
        <w:divId w:val="1574772705"/>
        <w:rPr>
          <w:rFonts w:ascii="Arial" w:eastAsia="Times New Roman" w:hAnsi="Arial" w:cs="Arial"/>
          <w:color w:val="022A4C"/>
          <w:sz w:val="18"/>
          <w:szCs w:val="18"/>
        </w:rPr>
      </w:pPr>
    </w:p>
    <w:p w:rsidR="00384E50" w:rsidRDefault="00384E50">
      <w:pPr>
        <w:divId w:val="129054626"/>
        <w:rPr>
          <w:rFonts w:ascii="Arial" w:eastAsia="Times New Roman" w:hAnsi="Arial" w:cs="Arial"/>
          <w:color w:val="022A4C"/>
          <w:sz w:val="18"/>
          <w:szCs w:val="18"/>
        </w:rPr>
      </w:pPr>
      <w:r>
        <w:rPr>
          <w:rFonts w:ascii="Arial" w:eastAsia="Times New Roman" w:hAnsi="Arial" w:cs="Arial"/>
          <w:color w:val="022A4C"/>
          <w:sz w:val="18"/>
          <w:szCs w:val="18"/>
        </w:rPr>
        <w:t>ISSA documents and forms that are referenced in this manual are available for download on the ISSA website (http://www.iata.org/issa).</w:t>
      </w:r>
    </w:p>
    <w:p w:rsidR="00384E50" w:rsidRDefault="00384E50" w:rsidP="00384E50">
      <w:pPr>
        <w:pStyle w:val="Heading2"/>
        <w:shd w:val="clear" w:color="auto" w:fill="1E32FA"/>
        <w:spacing w:after="0" w:afterAutospacing="0"/>
        <w:ind w:left="-50" w:right="-36"/>
        <w:divId w:val="238104292"/>
        <w:rPr>
          <w:rFonts w:ascii="Arial" w:eastAsia="Times New Roman" w:hAnsi="Arial" w:cs="Arial"/>
          <w:color w:val="FFFFFF"/>
          <w:sz w:val="25"/>
          <w:szCs w:val="25"/>
        </w:rPr>
      </w:pPr>
      <w:r>
        <w:rPr>
          <w:rFonts w:ascii="Arial" w:eastAsia="Times New Roman" w:hAnsi="Arial" w:cs="Arial"/>
          <w:color w:val="FFFFFF"/>
          <w:sz w:val="25"/>
          <w:szCs w:val="25"/>
        </w:rPr>
        <w:t>16 Authority</w:t>
      </w:r>
    </w:p>
    <w:p w:rsidR="00384E50" w:rsidRDefault="00384E50">
      <w:pPr>
        <w:divId w:val="238104292"/>
        <w:rPr>
          <w:rFonts w:ascii="Arial" w:eastAsia="Times New Roman" w:hAnsi="Arial" w:cs="Arial"/>
          <w:color w:val="022A4C"/>
          <w:sz w:val="18"/>
          <w:szCs w:val="18"/>
        </w:rPr>
      </w:pPr>
    </w:p>
    <w:p w:rsidR="00384E50" w:rsidRDefault="00384E50">
      <w:pPr>
        <w:divId w:val="165295201"/>
        <w:rPr>
          <w:rFonts w:ascii="Arial" w:eastAsia="Times New Roman" w:hAnsi="Arial" w:cs="Arial"/>
          <w:color w:val="022A4C"/>
          <w:sz w:val="18"/>
          <w:szCs w:val="18"/>
        </w:rPr>
      </w:pPr>
      <w:r>
        <w:rPr>
          <w:rFonts w:ascii="Arial" w:eastAsia="Times New Roman" w:hAnsi="Arial" w:cs="Arial"/>
          <w:color w:val="022A4C"/>
          <w:sz w:val="18"/>
          <w:szCs w:val="18"/>
        </w:rPr>
        <w:t xml:space="preserve">The ISSA Program operates under the authority of the IATA Operations Committee (OPC) with reference to the IATA Board of Governors (BoG). </w:t>
      </w: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4E50" w:rsidRDefault="00384E50" w:rsidP="00384E50">
      <w:r>
        <w:separator/>
      </w:r>
    </w:p>
  </w:endnote>
  <w:endnote w:type="continuationSeparator" w:id="0">
    <w:p w:rsidR="00384E50" w:rsidRDefault="00384E50" w:rsidP="00384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ATA Unicode Based">
    <w:panose1 w:val="02000000000000000000"/>
    <w:charset w:val="00"/>
    <w:family w:val="auto"/>
    <w:pitch w:val="variable"/>
    <w:sig w:usb0="00000287" w:usb1="00000000" w:usb2="00000000" w:usb3="00000000" w:csb0="0000001F" w:csb1="00000000"/>
    <w:embedRegular r:id="rId1" w:subsetted="1" w:fontKey="{7FF427AA-9E0C-4F83-8B11-0AA58CD4B4D7}"/>
  </w:font>
  <w:font w:name="IATAfont">
    <w:panose1 w:val="02000500000000000000"/>
    <w:charset w:val="00"/>
    <w:family w:val="auto"/>
    <w:pitch w:val="variable"/>
    <w:sig w:usb0="00000013" w:usb1="0200E000" w:usb2="00000000" w:usb3="00000000" w:csb0="00000001" w:csb1="00000000"/>
    <w:embedRegular r:id="rId2" w:subsetted="1" w:fontKey="{32576A29-4E63-426A-A8E9-77B93DEEA79F}"/>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embedRegular r:id="rId3" w:fontKey="{844BFB10-E014-400C-9C2C-11533A7A0BB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84E50" w:rsidRDefault="00384E50" w:rsidP="00384E50">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384E50" w:rsidRDefault="00384E50" w:rsidP="00384E50">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noProof/>
        <w:sz w:val="20"/>
      </w:rPr>
      <w:t>2</w:t>
    </w:r>
    <w:r>
      <w:rPr>
        <w:rFonts w:ascii="Arial" w:hAnsi="Arial" w:cs="Arial"/>
        <w:sz w:val="20"/>
      </w:rPr>
      <w:t xml:space="preserve"> of </w:t>
    </w:r>
    <w:r>
      <w:rPr>
        <w:rFonts w:ascii="Arial" w:hAnsi="Arial" w:cs="Arial"/>
        <w:noProof/>
        <w:sz w:val="20"/>
      </w:rPr>
      <w:t>7</w:t>
    </w:r>
    <w:r>
      <w:rPr>
        <w:rFonts w:ascii="Arial" w:hAnsi="Arial" w:cs="Arial"/>
        <w:sz w:val="20"/>
      </w:rPr>
      <w:tab/>
      <w:t>Issue date: December 2025</w:t>
    </w:r>
  </w:p>
  <w:p w:rsidR="00384E50" w:rsidRPr="00384E50" w:rsidRDefault="00384E50" w:rsidP="00384E50">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4E50" w:rsidRDefault="00384E50" w:rsidP="00384E50">
      <w:r>
        <w:separator/>
      </w:r>
    </w:p>
  </w:footnote>
  <w:footnote w:type="continuationSeparator" w:id="0">
    <w:p w:rsidR="00384E50" w:rsidRDefault="00384E50" w:rsidP="00384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84E50" w:rsidRDefault="00384E50" w:rsidP="00384E50">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384E50" w:rsidRDefault="00384E50" w:rsidP="00384E50">
    <w:pPr>
      <w:pStyle w:val="Header"/>
      <w:rPr>
        <w:rFonts w:ascii="Arial" w:hAnsi="Arial" w:cs="Arial"/>
        <w:sz w:val="20"/>
      </w:rPr>
    </w:pPr>
    <w:r>
      <w:rPr>
        <w:rFonts w:ascii="Arial" w:hAnsi="Arial" w:cs="Arial"/>
        <w:sz w:val="20"/>
      </w:rPr>
      <w:tab/>
    </w:r>
    <w:r>
      <w:rPr>
        <w:rFonts w:ascii="Arial" w:hAnsi="Arial" w:cs="Arial"/>
        <w:sz w:val="20"/>
      </w:rPr>
      <w:tab/>
      <w:t>ISSM Edition 9 - effective April 2026</w:t>
    </w:r>
  </w:p>
  <w:p w:rsidR="00384E50" w:rsidRDefault="00384E50" w:rsidP="00384E50">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384E50" w:rsidRPr="00384E50" w:rsidRDefault="00384E50" w:rsidP="00384E50">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371D8"/>
    <w:multiLevelType w:val="multilevel"/>
    <w:tmpl w:val="84F41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0FC1381"/>
    <w:multiLevelType w:val="multilevel"/>
    <w:tmpl w:val="D8CA6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7E77694"/>
    <w:multiLevelType w:val="multilevel"/>
    <w:tmpl w:val="979CD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F021EAB"/>
    <w:multiLevelType w:val="multilevel"/>
    <w:tmpl w:val="9B544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BB652D"/>
    <w:multiLevelType w:val="multilevel"/>
    <w:tmpl w:val="629A0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E2B5E6D"/>
    <w:multiLevelType w:val="multilevel"/>
    <w:tmpl w:val="9E408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2661BBF"/>
    <w:multiLevelType w:val="multilevel"/>
    <w:tmpl w:val="5552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8254402">
    <w:abstractNumId w:val="6"/>
  </w:num>
  <w:num w:numId="2" w16cid:durableId="681590573">
    <w:abstractNumId w:val="1"/>
  </w:num>
  <w:num w:numId="3" w16cid:durableId="529801749">
    <w:abstractNumId w:val="0"/>
  </w:num>
  <w:num w:numId="4" w16cid:durableId="362630973">
    <w:abstractNumId w:val="5"/>
  </w:num>
  <w:num w:numId="5" w16cid:durableId="48966385">
    <w:abstractNumId w:val="4"/>
  </w:num>
  <w:num w:numId="6" w16cid:durableId="1314019411">
    <w:abstractNumId w:val="2"/>
  </w:num>
  <w:num w:numId="7" w16cid:durableId="5823804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384E50"/>
    <w:rsid w:val="001A2F2D"/>
    <w:rsid w:val="00384E5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4A621F6-A7E5-4DD8-B5E7-FF4CA30BC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300" w:after="100" w:afterAutospacing="1"/>
      <w:ind w:left="300" w:right="300"/>
    </w:pPr>
    <w:rPr>
      <w:sz w:val="15"/>
      <w:szCs w:val="15"/>
    </w:r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ection1headingchecklist1">
    <w:name w:val="iatasection1headingchecklist1"/>
    <w:basedOn w:val="Normal"/>
    <w:pPr>
      <w:ind w:left="-30" w:right="-30"/>
      <w:jc w:val="center"/>
    </w:pPr>
    <w:rPr>
      <w:color w:val="000000"/>
      <w:sz w:val="38"/>
      <w:szCs w:val="38"/>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paragraph" w:customStyle="1" w:styleId="iatalistitem">
    <w:name w:val="iatalistitem"/>
    <w:basedOn w:val="Normal"/>
    <w:pPr>
      <w:spacing w:before="100" w:beforeAutospacing="1" w:after="100" w:afterAutospacing="1"/>
    </w:pPr>
  </w:style>
  <w:style w:type="character" w:customStyle="1" w:styleId="iatafont1">
    <w:name w:val="iatafont1"/>
    <w:basedOn w:val="DefaultParagraphFont"/>
    <w:rPr>
      <w:rFonts w:ascii="IATA Unicode Based" w:hAnsi="IATA Unicode Based" w:hint="default"/>
      <w:b w:val="0"/>
      <w:bCs w:val="0"/>
      <w:i w:val="0"/>
      <w:iCs w:val="0"/>
    </w:rPr>
  </w:style>
  <w:style w:type="paragraph" w:styleId="Header">
    <w:name w:val="header"/>
    <w:basedOn w:val="Normal"/>
    <w:link w:val="HeaderChar"/>
    <w:uiPriority w:val="99"/>
    <w:unhideWhenUsed/>
    <w:rsid w:val="00384E50"/>
    <w:pPr>
      <w:tabs>
        <w:tab w:val="center" w:pos="4680"/>
        <w:tab w:val="right" w:pos="9360"/>
      </w:tabs>
    </w:pPr>
  </w:style>
  <w:style w:type="character" w:customStyle="1" w:styleId="HeaderChar">
    <w:name w:val="Header Char"/>
    <w:basedOn w:val="DefaultParagraphFont"/>
    <w:link w:val="Header"/>
    <w:uiPriority w:val="99"/>
    <w:rsid w:val="00384E50"/>
    <w:rPr>
      <w:rFonts w:eastAsiaTheme="minorEastAsia"/>
      <w:sz w:val="24"/>
      <w:szCs w:val="24"/>
    </w:rPr>
  </w:style>
  <w:style w:type="paragraph" w:styleId="Footer">
    <w:name w:val="footer"/>
    <w:basedOn w:val="Normal"/>
    <w:link w:val="FooterChar"/>
    <w:uiPriority w:val="99"/>
    <w:unhideWhenUsed/>
    <w:rsid w:val="00384E50"/>
    <w:pPr>
      <w:tabs>
        <w:tab w:val="center" w:pos="4680"/>
        <w:tab w:val="right" w:pos="9360"/>
      </w:tabs>
    </w:pPr>
  </w:style>
  <w:style w:type="character" w:customStyle="1" w:styleId="FooterChar">
    <w:name w:val="Footer Char"/>
    <w:basedOn w:val="DefaultParagraphFont"/>
    <w:link w:val="Footer"/>
    <w:uiPriority w:val="99"/>
    <w:rsid w:val="00384E50"/>
    <w:rPr>
      <w:rFonts w:eastAsiaTheme="minorEastAsia"/>
      <w:sz w:val="24"/>
      <w:szCs w:val="24"/>
    </w:rPr>
  </w:style>
  <w:style w:type="table" w:styleId="TableGrid">
    <w:name w:val="Table Grid"/>
    <w:basedOn w:val="TableNormal"/>
    <w:uiPriority w:val="39"/>
    <w:rsid w:val="00384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28163">
      <w:marLeft w:val="0"/>
      <w:marRight w:val="0"/>
      <w:marTop w:val="0"/>
      <w:marBottom w:val="0"/>
      <w:divBdr>
        <w:top w:val="none" w:sz="0" w:space="0" w:color="auto"/>
        <w:left w:val="none" w:sz="0" w:space="0" w:color="auto"/>
        <w:bottom w:val="none" w:sz="0" w:space="0" w:color="auto"/>
        <w:right w:val="none" w:sz="0" w:space="0" w:color="auto"/>
      </w:divBdr>
      <w:divsChild>
        <w:div w:id="780144511">
          <w:marLeft w:val="300"/>
          <w:marRight w:val="300"/>
          <w:marTop w:val="300"/>
          <w:marBottom w:val="0"/>
          <w:divBdr>
            <w:top w:val="single" w:sz="6" w:space="9" w:color="000000"/>
            <w:left w:val="single" w:sz="6" w:space="9" w:color="000000"/>
            <w:bottom w:val="single" w:sz="6" w:space="9" w:color="000000"/>
            <w:right w:val="single" w:sz="6" w:space="9" w:color="000000"/>
          </w:divBdr>
          <w:divsChild>
            <w:div w:id="1869483211">
              <w:marLeft w:val="0"/>
              <w:marRight w:val="0"/>
              <w:marTop w:val="0"/>
              <w:marBottom w:val="0"/>
              <w:divBdr>
                <w:top w:val="none" w:sz="0" w:space="0" w:color="auto"/>
                <w:left w:val="none" w:sz="0" w:space="0" w:color="auto"/>
                <w:bottom w:val="none" w:sz="0" w:space="0" w:color="auto"/>
                <w:right w:val="none" w:sz="0" w:space="0" w:color="auto"/>
              </w:divBdr>
            </w:div>
            <w:div w:id="1118372404">
              <w:marLeft w:val="0"/>
              <w:marRight w:val="0"/>
              <w:marTop w:val="180"/>
              <w:marBottom w:val="45"/>
              <w:divBdr>
                <w:top w:val="none" w:sz="0" w:space="0" w:color="auto"/>
                <w:left w:val="none" w:sz="0" w:space="0" w:color="auto"/>
                <w:bottom w:val="none" w:sz="0" w:space="0" w:color="auto"/>
                <w:right w:val="none" w:sz="0" w:space="0" w:color="auto"/>
              </w:divBdr>
            </w:div>
            <w:div w:id="2075617442">
              <w:marLeft w:val="0"/>
              <w:marRight w:val="0"/>
              <w:marTop w:val="180"/>
              <w:marBottom w:val="45"/>
              <w:divBdr>
                <w:top w:val="none" w:sz="0" w:space="0" w:color="auto"/>
                <w:left w:val="none" w:sz="0" w:space="0" w:color="auto"/>
                <w:bottom w:val="none" w:sz="0" w:space="0" w:color="auto"/>
                <w:right w:val="none" w:sz="0" w:space="0" w:color="auto"/>
              </w:divBdr>
              <w:divsChild>
                <w:div w:id="1200053127">
                  <w:marLeft w:val="0"/>
                  <w:marRight w:val="0"/>
                  <w:marTop w:val="240"/>
                  <w:marBottom w:val="0"/>
                  <w:divBdr>
                    <w:top w:val="none" w:sz="0" w:space="0" w:color="auto"/>
                    <w:left w:val="none" w:sz="0" w:space="0" w:color="auto"/>
                    <w:bottom w:val="none" w:sz="0" w:space="0" w:color="auto"/>
                    <w:right w:val="none" w:sz="0" w:space="0" w:color="auto"/>
                  </w:divBdr>
                  <w:divsChild>
                    <w:div w:id="32311947">
                      <w:marLeft w:val="0"/>
                      <w:marRight w:val="0"/>
                      <w:marTop w:val="0"/>
                      <w:marBottom w:val="0"/>
                      <w:divBdr>
                        <w:top w:val="none" w:sz="0" w:space="0" w:color="auto"/>
                        <w:left w:val="none" w:sz="0" w:space="0" w:color="auto"/>
                        <w:bottom w:val="none" w:sz="0" w:space="0" w:color="auto"/>
                        <w:right w:val="none" w:sz="0" w:space="0" w:color="auto"/>
                      </w:divBdr>
                    </w:div>
                    <w:div w:id="1967731992">
                      <w:marLeft w:val="0"/>
                      <w:marRight w:val="0"/>
                      <w:marTop w:val="0"/>
                      <w:marBottom w:val="0"/>
                      <w:divBdr>
                        <w:top w:val="none" w:sz="0" w:space="0" w:color="auto"/>
                        <w:left w:val="none" w:sz="0" w:space="0" w:color="auto"/>
                        <w:bottom w:val="none" w:sz="0" w:space="0" w:color="auto"/>
                        <w:right w:val="none" w:sz="0" w:space="0" w:color="auto"/>
                      </w:divBdr>
                    </w:div>
                    <w:div w:id="1938706421">
                      <w:marLeft w:val="0"/>
                      <w:marRight w:val="0"/>
                      <w:marTop w:val="0"/>
                      <w:marBottom w:val="0"/>
                      <w:divBdr>
                        <w:top w:val="none" w:sz="0" w:space="0" w:color="auto"/>
                        <w:left w:val="none" w:sz="0" w:space="0" w:color="auto"/>
                        <w:bottom w:val="none" w:sz="0" w:space="0" w:color="auto"/>
                        <w:right w:val="none" w:sz="0" w:space="0" w:color="auto"/>
                      </w:divBdr>
                      <w:divsChild>
                        <w:div w:id="11804854">
                          <w:marLeft w:val="0"/>
                          <w:marRight w:val="0"/>
                          <w:marTop w:val="0"/>
                          <w:marBottom w:val="0"/>
                          <w:divBdr>
                            <w:top w:val="none" w:sz="0" w:space="0" w:color="auto"/>
                            <w:left w:val="none" w:sz="0" w:space="0" w:color="auto"/>
                            <w:bottom w:val="none" w:sz="0" w:space="0" w:color="auto"/>
                            <w:right w:val="none" w:sz="0" w:space="0" w:color="auto"/>
                          </w:divBdr>
                        </w:div>
                      </w:divsChild>
                    </w:div>
                    <w:div w:id="1587156608">
                      <w:marLeft w:val="0"/>
                      <w:marRight w:val="0"/>
                      <w:marTop w:val="0"/>
                      <w:marBottom w:val="0"/>
                      <w:divBdr>
                        <w:top w:val="none" w:sz="0" w:space="0" w:color="auto"/>
                        <w:left w:val="none" w:sz="0" w:space="0" w:color="auto"/>
                        <w:bottom w:val="none" w:sz="0" w:space="0" w:color="auto"/>
                        <w:right w:val="none" w:sz="0" w:space="0" w:color="auto"/>
                      </w:divBdr>
                      <w:divsChild>
                        <w:div w:id="263341701">
                          <w:marLeft w:val="0"/>
                          <w:marRight w:val="0"/>
                          <w:marTop w:val="0"/>
                          <w:marBottom w:val="0"/>
                          <w:divBdr>
                            <w:top w:val="none" w:sz="0" w:space="0" w:color="auto"/>
                            <w:left w:val="none" w:sz="0" w:space="0" w:color="auto"/>
                            <w:bottom w:val="none" w:sz="0" w:space="0" w:color="auto"/>
                            <w:right w:val="none" w:sz="0" w:space="0" w:color="auto"/>
                          </w:divBdr>
                        </w:div>
                        <w:div w:id="1983583929">
                          <w:marLeft w:val="0"/>
                          <w:marRight w:val="0"/>
                          <w:marTop w:val="0"/>
                          <w:marBottom w:val="0"/>
                          <w:divBdr>
                            <w:top w:val="none" w:sz="0" w:space="0" w:color="auto"/>
                            <w:left w:val="none" w:sz="0" w:space="0" w:color="auto"/>
                            <w:bottom w:val="none" w:sz="0" w:space="0" w:color="auto"/>
                            <w:right w:val="none" w:sz="0" w:space="0" w:color="auto"/>
                          </w:divBdr>
                        </w:div>
                        <w:div w:id="1359045882">
                          <w:marLeft w:val="0"/>
                          <w:marRight w:val="0"/>
                          <w:marTop w:val="0"/>
                          <w:marBottom w:val="0"/>
                          <w:divBdr>
                            <w:top w:val="none" w:sz="0" w:space="0" w:color="auto"/>
                            <w:left w:val="none" w:sz="0" w:space="0" w:color="auto"/>
                            <w:bottom w:val="none" w:sz="0" w:space="0" w:color="auto"/>
                            <w:right w:val="none" w:sz="0" w:space="0" w:color="auto"/>
                          </w:divBdr>
                        </w:div>
                        <w:div w:id="183941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263662">
          <w:marLeft w:val="0"/>
          <w:marRight w:val="0"/>
          <w:marTop w:val="600"/>
          <w:marBottom w:val="0"/>
          <w:divBdr>
            <w:top w:val="none" w:sz="0" w:space="0" w:color="auto"/>
            <w:left w:val="none" w:sz="0" w:space="0" w:color="auto"/>
            <w:bottom w:val="none" w:sz="0" w:space="0" w:color="auto"/>
            <w:right w:val="none" w:sz="0" w:space="0" w:color="auto"/>
          </w:divBdr>
          <w:divsChild>
            <w:div w:id="30724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09421">
      <w:marLeft w:val="0"/>
      <w:marRight w:val="0"/>
      <w:marTop w:val="200"/>
      <w:marBottom w:val="0"/>
      <w:divBdr>
        <w:top w:val="none" w:sz="0" w:space="0" w:color="auto"/>
        <w:left w:val="none" w:sz="0" w:space="0" w:color="auto"/>
        <w:bottom w:val="none" w:sz="0" w:space="0" w:color="auto"/>
        <w:right w:val="none" w:sz="0" w:space="0" w:color="auto"/>
      </w:divBdr>
      <w:divsChild>
        <w:div w:id="209078129">
          <w:marLeft w:val="0"/>
          <w:marRight w:val="0"/>
          <w:marTop w:val="225"/>
          <w:marBottom w:val="150"/>
          <w:divBdr>
            <w:top w:val="none" w:sz="0" w:space="0" w:color="auto"/>
            <w:left w:val="none" w:sz="0" w:space="0" w:color="auto"/>
            <w:bottom w:val="none" w:sz="0" w:space="0" w:color="auto"/>
            <w:right w:val="none" w:sz="0" w:space="0" w:color="auto"/>
          </w:divBdr>
          <w:divsChild>
            <w:div w:id="311951642">
              <w:marLeft w:val="0"/>
              <w:marRight w:val="0"/>
              <w:marTop w:val="0"/>
              <w:marBottom w:val="90"/>
              <w:divBdr>
                <w:top w:val="none" w:sz="0" w:space="0" w:color="auto"/>
                <w:left w:val="none" w:sz="0" w:space="0" w:color="auto"/>
                <w:bottom w:val="none" w:sz="0" w:space="0" w:color="auto"/>
                <w:right w:val="none" w:sz="0" w:space="0" w:color="auto"/>
              </w:divBdr>
            </w:div>
            <w:div w:id="1032611801">
              <w:marLeft w:val="0"/>
              <w:marRight w:val="0"/>
              <w:marTop w:val="0"/>
              <w:marBottom w:val="90"/>
              <w:divBdr>
                <w:top w:val="none" w:sz="0" w:space="0" w:color="auto"/>
                <w:left w:val="none" w:sz="0" w:space="0" w:color="auto"/>
                <w:bottom w:val="none" w:sz="0" w:space="0" w:color="auto"/>
                <w:right w:val="none" w:sz="0" w:space="0" w:color="auto"/>
              </w:divBdr>
            </w:div>
            <w:div w:id="222298904">
              <w:marLeft w:val="0"/>
              <w:marRight w:val="0"/>
              <w:marTop w:val="0"/>
              <w:marBottom w:val="90"/>
              <w:divBdr>
                <w:top w:val="none" w:sz="0" w:space="0" w:color="auto"/>
                <w:left w:val="none" w:sz="0" w:space="0" w:color="auto"/>
                <w:bottom w:val="none" w:sz="0" w:space="0" w:color="auto"/>
                <w:right w:val="none" w:sz="0" w:space="0" w:color="auto"/>
              </w:divBdr>
            </w:div>
            <w:div w:id="990060550">
              <w:marLeft w:val="0"/>
              <w:marRight w:val="0"/>
              <w:marTop w:val="0"/>
              <w:marBottom w:val="90"/>
              <w:divBdr>
                <w:top w:val="none" w:sz="0" w:space="0" w:color="auto"/>
                <w:left w:val="none" w:sz="0" w:space="0" w:color="auto"/>
                <w:bottom w:val="none" w:sz="0" w:space="0" w:color="auto"/>
                <w:right w:val="none" w:sz="0" w:space="0" w:color="auto"/>
              </w:divBdr>
            </w:div>
          </w:divsChild>
        </w:div>
        <w:div w:id="134565655">
          <w:marLeft w:val="0"/>
          <w:marRight w:val="0"/>
          <w:marTop w:val="225"/>
          <w:marBottom w:val="150"/>
          <w:divBdr>
            <w:top w:val="none" w:sz="0" w:space="0" w:color="auto"/>
            <w:left w:val="none" w:sz="0" w:space="0" w:color="auto"/>
            <w:bottom w:val="none" w:sz="0" w:space="0" w:color="auto"/>
            <w:right w:val="none" w:sz="0" w:space="0" w:color="auto"/>
          </w:divBdr>
          <w:divsChild>
            <w:div w:id="1568110698">
              <w:marLeft w:val="0"/>
              <w:marRight w:val="0"/>
              <w:marTop w:val="0"/>
              <w:marBottom w:val="90"/>
              <w:divBdr>
                <w:top w:val="none" w:sz="0" w:space="0" w:color="auto"/>
                <w:left w:val="none" w:sz="0" w:space="0" w:color="auto"/>
                <w:bottom w:val="none" w:sz="0" w:space="0" w:color="auto"/>
                <w:right w:val="none" w:sz="0" w:space="0" w:color="auto"/>
              </w:divBdr>
            </w:div>
            <w:div w:id="349988021">
              <w:marLeft w:val="0"/>
              <w:marRight w:val="0"/>
              <w:marTop w:val="0"/>
              <w:marBottom w:val="90"/>
              <w:divBdr>
                <w:top w:val="none" w:sz="0" w:space="0" w:color="auto"/>
                <w:left w:val="none" w:sz="0" w:space="0" w:color="auto"/>
                <w:bottom w:val="none" w:sz="0" w:space="0" w:color="auto"/>
                <w:right w:val="none" w:sz="0" w:space="0" w:color="auto"/>
              </w:divBdr>
            </w:div>
          </w:divsChild>
        </w:div>
        <w:div w:id="733506433">
          <w:marLeft w:val="0"/>
          <w:marRight w:val="0"/>
          <w:marTop w:val="225"/>
          <w:marBottom w:val="150"/>
          <w:divBdr>
            <w:top w:val="none" w:sz="0" w:space="0" w:color="auto"/>
            <w:left w:val="none" w:sz="0" w:space="0" w:color="auto"/>
            <w:bottom w:val="none" w:sz="0" w:space="0" w:color="auto"/>
            <w:right w:val="none" w:sz="0" w:space="0" w:color="auto"/>
          </w:divBdr>
          <w:divsChild>
            <w:div w:id="914363494">
              <w:marLeft w:val="0"/>
              <w:marRight w:val="0"/>
              <w:marTop w:val="0"/>
              <w:marBottom w:val="90"/>
              <w:divBdr>
                <w:top w:val="none" w:sz="0" w:space="0" w:color="auto"/>
                <w:left w:val="none" w:sz="0" w:space="0" w:color="auto"/>
                <w:bottom w:val="none" w:sz="0" w:space="0" w:color="auto"/>
                <w:right w:val="none" w:sz="0" w:space="0" w:color="auto"/>
              </w:divBdr>
            </w:div>
          </w:divsChild>
        </w:div>
        <w:div w:id="1534539505">
          <w:marLeft w:val="0"/>
          <w:marRight w:val="0"/>
          <w:marTop w:val="225"/>
          <w:marBottom w:val="150"/>
          <w:divBdr>
            <w:top w:val="none" w:sz="0" w:space="0" w:color="auto"/>
            <w:left w:val="none" w:sz="0" w:space="0" w:color="auto"/>
            <w:bottom w:val="none" w:sz="0" w:space="0" w:color="auto"/>
            <w:right w:val="none" w:sz="0" w:space="0" w:color="auto"/>
          </w:divBdr>
          <w:divsChild>
            <w:div w:id="1848403140">
              <w:marLeft w:val="0"/>
              <w:marRight w:val="0"/>
              <w:marTop w:val="0"/>
              <w:marBottom w:val="90"/>
              <w:divBdr>
                <w:top w:val="none" w:sz="0" w:space="0" w:color="auto"/>
                <w:left w:val="none" w:sz="0" w:space="0" w:color="auto"/>
                <w:bottom w:val="none" w:sz="0" w:space="0" w:color="auto"/>
                <w:right w:val="none" w:sz="0" w:space="0" w:color="auto"/>
              </w:divBdr>
            </w:div>
            <w:div w:id="1561280607">
              <w:marLeft w:val="0"/>
              <w:marRight w:val="0"/>
              <w:marTop w:val="0"/>
              <w:marBottom w:val="90"/>
              <w:divBdr>
                <w:top w:val="none" w:sz="0" w:space="0" w:color="auto"/>
                <w:left w:val="none" w:sz="0" w:space="0" w:color="auto"/>
                <w:bottom w:val="none" w:sz="0" w:space="0" w:color="auto"/>
                <w:right w:val="none" w:sz="0" w:space="0" w:color="auto"/>
              </w:divBdr>
            </w:div>
            <w:div w:id="583027268">
              <w:marLeft w:val="0"/>
              <w:marRight w:val="0"/>
              <w:marTop w:val="0"/>
              <w:marBottom w:val="90"/>
              <w:divBdr>
                <w:top w:val="none" w:sz="0" w:space="0" w:color="auto"/>
                <w:left w:val="none" w:sz="0" w:space="0" w:color="auto"/>
                <w:bottom w:val="none" w:sz="0" w:space="0" w:color="auto"/>
                <w:right w:val="none" w:sz="0" w:space="0" w:color="auto"/>
              </w:divBdr>
            </w:div>
            <w:div w:id="713887297">
              <w:marLeft w:val="0"/>
              <w:marRight w:val="0"/>
              <w:marTop w:val="0"/>
              <w:marBottom w:val="90"/>
              <w:divBdr>
                <w:top w:val="none" w:sz="0" w:space="0" w:color="auto"/>
                <w:left w:val="none" w:sz="0" w:space="0" w:color="auto"/>
                <w:bottom w:val="none" w:sz="0" w:space="0" w:color="auto"/>
                <w:right w:val="none" w:sz="0" w:space="0" w:color="auto"/>
              </w:divBdr>
            </w:div>
            <w:div w:id="529535361">
              <w:marLeft w:val="0"/>
              <w:marRight w:val="0"/>
              <w:marTop w:val="0"/>
              <w:marBottom w:val="90"/>
              <w:divBdr>
                <w:top w:val="none" w:sz="0" w:space="0" w:color="auto"/>
                <w:left w:val="none" w:sz="0" w:space="0" w:color="auto"/>
                <w:bottom w:val="none" w:sz="0" w:space="0" w:color="auto"/>
                <w:right w:val="none" w:sz="0" w:space="0" w:color="auto"/>
              </w:divBdr>
              <w:divsChild>
                <w:div w:id="1212771400">
                  <w:marLeft w:val="0"/>
                  <w:marRight w:val="0"/>
                  <w:marTop w:val="30"/>
                  <w:marBottom w:val="0"/>
                  <w:divBdr>
                    <w:top w:val="none" w:sz="0" w:space="0" w:color="auto"/>
                    <w:left w:val="none" w:sz="0" w:space="0" w:color="auto"/>
                    <w:bottom w:val="none" w:sz="0" w:space="0" w:color="auto"/>
                    <w:right w:val="none" w:sz="0" w:space="0" w:color="auto"/>
                  </w:divBdr>
                  <w:divsChild>
                    <w:div w:id="134821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6667">
              <w:marLeft w:val="0"/>
              <w:marRight w:val="0"/>
              <w:marTop w:val="0"/>
              <w:marBottom w:val="90"/>
              <w:divBdr>
                <w:top w:val="none" w:sz="0" w:space="0" w:color="auto"/>
                <w:left w:val="none" w:sz="0" w:space="0" w:color="auto"/>
                <w:bottom w:val="none" w:sz="0" w:space="0" w:color="auto"/>
                <w:right w:val="none" w:sz="0" w:space="0" w:color="auto"/>
              </w:divBdr>
            </w:div>
            <w:div w:id="713508926">
              <w:marLeft w:val="0"/>
              <w:marRight w:val="0"/>
              <w:marTop w:val="30"/>
              <w:marBottom w:val="0"/>
              <w:divBdr>
                <w:top w:val="none" w:sz="0" w:space="0" w:color="auto"/>
                <w:left w:val="none" w:sz="0" w:space="0" w:color="auto"/>
                <w:bottom w:val="none" w:sz="0" w:space="0" w:color="auto"/>
                <w:right w:val="none" w:sz="0" w:space="0" w:color="auto"/>
              </w:divBdr>
              <w:divsChild>
                <w:div w:id="36200839">
                  <w:marLeft w:val="0"/>
                  <w:marRight w:val="0"/>
                  <w:marTop w:val="0"/>
                  <w:marBottom w:val="0"/>
                  <w:divBdr>
                    <w:top w:val="none" w:sz="0" w:space="0" w:color="auto"/>
                    <w:left w:val="none" w:sz="0" w:space="0" w:color="auto"/>
                    <w:bottom w:val="none" w:sz="0" w:space="0" w:color="auto"/>
                    <w:right w:val="none" w:sz="0" w:space="0" w:color="auto"/>
                  </w:divBdr>
                </w:div>
              </w:divsChild>
            </w:div>
            <w:div w:id="1171801078">
              <w:marLeft w:val="0"/>
              <w:marRight w:val="0"/>
              <w:marTop w:val="0"/>
              <w:marBottom w:val="90"/>
              <w:divBdr>
                <w:top w:val="none" w:sz="0" w:space="0" w:color="auto"/>
                <w:left w:val="none" w:sz="0" w:space="0" w:color="auto"/>
                <w:bottom w:val="none" w:sz="0" w:space="0" w:color="auto"/>
                <w:right w:val="none" w:sz="0" w:space="0" w:color="auto"/>
              </w:divBdr>
            </w:div>
            <w:div w:id="94331170">
              <w:marLeft w:val="0"/>
              <w:marRight w:val="0"/>
              <w:marTop w:val="30"/>
              <w:marBottom w:val="0"/>
              <w:divBdr>
                <w:top w:val="none" w:sz="0" w:space="0" w:color="auto"/>
                <w:left w:val="none" w:sz="0" w:space="0" w:color="auto"/>
                <w:bottom w:val="none" w:sz="0" w:space="0" w:color="auto"/>
                <w:right w:val="none" w:sz="0" w:space="0" w:color="auto"/>
              </w:divBdr>
              <w:divsChild>
                <w:div w:id="1593196809">
                  <w:marLeft w:val="0"/>
                  <w:marRight w:val="0"/>
                  <w:marTop w:val="0"/>
                  <w:marBottom w:val="0"/>
                  <w:divBdr>
                    <w:top w:val="none" w:sz="0" w:space="0" w:color="auto"/>
                    <w:left w:val="none" w:sz="0" w:space="0" w:color="auto"/>
                    <w:bottom w:val="none" w:sz="0" w:space="0" w:color="auto"/>
                    <w:right w:val="none" w:sz="0" w:space="0" w:color="auto"/>
                  </w:divBdr>
                </w:div>
              </w:divsChild>
            </w:div>
            <w:div w:id="121071547">
              <w:marLeft w:val="0"/>
              <w:marRight w:val="0"/>
              <w:marTop w:val="0"/>
              <w:marBottom w:val="90"/>
              <w:divBdr>
                <w:top w:val="none" w:sz="0" w:space="0" w:color="auto"/>
                <w:left w:val="none" w:sz="0" w:space="0" w:color="auto"/>
                <w:bottom w:val="none" w:sz="0" w:space="0" w:color="auto"/>
                <w:right w:val="none" w:sz="0" w:space="0" w:color="auto"/>
              </w:divBdr>
            </w:div>
            <w:div w:id="528422115">
              <w:marLeft w:val="0"/>
              <w:marRight w:val="0"/>
              <w:marTop w:val="0"/>
              <w:marBottom w:val="90"/>
              <w:divBdr>
                <w:top w:val="none" w:sz="0" w:space="0" w:color="auto"/>
                <w:left w:val="none" w:sz="0" w:space="0" w:color="auto"/>
                <w:bottom w:val="none" w:sz="0" w:space="0" w:color="auto"/>
                <w:right w:val="none" w:sz="0" w:space="0" w:color="auto"/>
              </w:divBdr>
            </w:div>
          </w:divsChild>
        </w:div>
        <w:div w:id="293563419">
          <w:marLeft w:val="0"/>
          <w:marRight w:val="0"/>
          <w:marTop w:val="225"/>
          <w:marBottom w:val="150"/>
          <w:divBdr>
            <w:top w:val="none" w:sz="0" w:space="0" w:color="auto"/>
            <w:left w:val="none" w:sz="0" w:space="0" w:color="auto"/>
            <w:bottom w:val="none" w:sz="0" w:space="0" w:color="auto"/>
            <w:right w:val="none" w:sz="0" w:space="0" w:color="auto"/>
          </w:divBdr>
          <w:divsChild>
            <w:div w:id="1298486832">
              <w:marLeft w:val="0"/>
              <w:marRight w:val="0"/>
              <w:marTop w:val="0"/>
              <w:marBottom w:val="90"/>
              <w:divBdr>
                <w:top w:val="none" w:sz="0" w:space="0" w:color="auto"/>
                <w:left w:val="none" w:sz="0" w:space="0" w:color="auto"/>
                <w:bottom w:val="none" w:sz="0" w:space="0" w:color="auto"/>
                <w:right w:val="none" w:sz="0" w:space="0" w:color="auto"/>
              </w:divBdr>
            </w:div>
            <w:div w:id="493881711">
              <w:marLeft w:val="0"/>
              <w:marRight w:val="0"/>
              <w:marTop w:val="0"/>
              <w:marBottom w:val="90"/>
              <w:divBdr>
                <w:top w:val="none" w:sz="0" w:space="0" w:color="auto"/>
                <w:left w:val="none" w:sz="0" w:space="0" w:color="auto"/>
                <w:bottom w:val="none" w:sz="0" w:space="0" w:color="auto"/>
                <w:right w:val="none" w:sz="0" w:space="0" w:color="auto"/>
              </w:divBdr>
            </w:div>
            <w:div w:id="1797023150">
              <w:marLeft w:val="0"/>
              <w:marRight w:val="0"/>
              <w:marTop w:val="0"/>
              <w:marBottom w:val="90"/>
              <w:divBdr>
                <w:top w:val="none" w:sz="0" w:space="0" w:color="auto"/>
                <w:left w:val="none" w:sz="0" w:space="0" w:color="auto"/>
                <w:bottom w:val="none" w:sz="0" w:space="0" w:color="auto"/>
                <w:right w:val="none" w:sz="0" w:space="0" w:color="auto"/>
              </w:divBdr>
            </w:div>
            <w:div w:id="2036346202">
              <w:marLeft w:val="0"/>
              <w:marRight w:val="0"/>
              <w:marTop w:val="0"/>
              <w:marBottom w:val="90"/>
              <w:divBdr>
                <w:top w:val="none" w:sz="0" w:space="0" w:color="auto"/>
                <w:left w:val="none" w:sz="0" w:space="0" w:color="auto"/>
                <w:bottom w:val="none" w:sz="0" w:space="0" w:color="auto"/>
                <w:right w:val="none" w:sz="0" w:space="0" w:color="auto"/>
              </w:divBdr>
            </w:div>
            <w:div w:id="1862864485">
              <w:marLeft w:val="0"/>
              <w:marRight w:val="0"/>
              <w:marTop w:val="0"/>
              <w:marBottom w:val="90"/>
              <w:divBdr>
                <w:top w:val="none" w:sz="0" w:space="0" w:color="auto"/>
                <w:left w:val="none" w:sz="0" w:space="0" w:color="auto"/>
                <w:bottom w:val="none" w:sz="0" w:space="0" w:color="auto"/>
                <w:right w:val="none" w:sz="0" w:space="0" w:color="auto"/>
              </w:divBdr>
            </w:div>
            <w:div w:id="1019546321">
              <w:marLeft w:val="0"/>
              <w:marRight w:val="0"/>
              <w:marTop w:val="0"/>
              <w:marBottom w:val="90"/>
              <w:divBdr>
                <w:top w:val="none" w:sz="0" w:space="0" w:color="auto"/>
                <w:left w:val="none" w:sz="0" w:space="0" w:color="auto"/>
                <w:bottom w:val="none" w:sz="0" w:space="0" w:color="auto"/>
                <w:right w:val="none" w:sz="0" w:space="0" w:color="auto"/>
              </w:divBdr>
            </w:div>
            <w:div w:id="1969237432">
              <w:marLeft w:val="0"/>
              <w:marRight w:val="0"/>
              <w:marTop w:val="0"/>
              <w:marBottom w:val="90"/>
              <w:divBdr>
                <w:top w:val="none" w:sz="0" w:space="0" w:color="auto"/>
                <w:left w:val="none" w:sz="0" w:space="0" w:color="auto"/>
                <w:bottom w:val="none" w:sz="0" w:space="0" w:color="auto"/>
                <w:right w:val="none" w:sz="0" w:space="0" w:color="auto"/>
              </w:divBdr>
            </w:div>
            <w:div w:id="71203956">
              <w:marLeft w:val="0"/>
              <w:marRight w:val="0"/>
              <w:marTop w:val="0"/>
              <w:marBottom w:val="90"/>
              <w:divBdr>
                <w:top w:val="none" w:sz="0" w:space="0" w:color="auto"/>
                <w:left w:val="none" w:sz="0" w:space="0" w:color="auto"/>
                <w:bottom w:val="none" w:sz="0" w:space="0" w:color="auto"/>
                <w:right w:val="none" w:sz="0" w:space="0" w:color="auto"/>
              </w:divBdr>
            </w:div>
            <w:div w:id="150608362">
              <w:marLeft w:val="0"/>
              <w:marRight w:val="0"/>
              <w:marTop w:val="0"/>
              <w:marBottom w:val="90"/>
              <w:divBdr>
                <w:top w:val="none" w:sz="0" w:space="0" w:color="auto"/>
                <w:left w:val="none" w:sz="0" w:space="0" w:color="auto"/>
                <w:bottom w:val="none" w:sz="0" w:space="0" w:color="auto"/>
                <w:right w:val="none" w:sz="0" w:space="0" w:color="auto"/>
              </w:divBdr>
            </w:div>
            <w:div w:id="995763371">
              <w:marLeft w:val="0"/>
              <w:marRight w:val="0"/>
              <w:marTop w:val="0"/>
              <w:marBottom w:val="90"/>
              <w:divBdr>
                <w:top w:val="none" w:sz="0" w:space="0" w:color="auto"/>
                <w:left w:val="none" w:sz="0" w:space="0" w:color="auto"/>
                <w:bottom w:val="none" w:sz="0" w:space="0" w:color="auto"/>
                <w:right w:val="none" w:sz="0" w:space="0" w:color="auto"/>
              </w:divBdr>
            </w:div>
            <w:div w:id="1212958022">
              <w:marLeft w:val="0"/>
              <w:marRight w:val="0"/>
              <w:marTop w:val="0"/>
              <w:marBottom w:val="90"/>
              <w:divBdr>
                <w:top w:val="none" w:sz="0" w:space="0" w:color="auto"/>
                <w:left w:val="none" w:sz="0" w:space="0" w:color="auto"/>
                <w:bottom w:val="none" w:sz="0" w:space="0" w:color="auto"/>
                <w:right w:val="none" w:sz="0" w:space="0" w:color="auto"/>
              </w:divBdr>
            </w:div>
            <w:div w:id="446463314">
              <w:marLeft w:val="0"/>
              <w:marRight w:val="0"/>
              <w:marTop w:val="0"/>
              <w:marBottom w:val="90"/>
              <w:divBdr>
                <w:top w:val="none" w:sz="0" w:space="0" w:color="auto"/>
                <w:left w:val="none" w:sz="0" w:space="0" w:color="auto"/>
                <w:bottom w:val="none" w:sz="0" w:space="0" w:color="auto"/>
                <w:right w:val="none" w:sz="0" w:space="0" w:color="auto"/>
              </w:divBdr>
            </w:div>
            <w:div w:id="1402632858">
              <w:marLeft w:val="0"/>
              <w:marRight w:val="0"/>
              <w:marTop w:val="0"/>
              <w:marBottom w:val="90"/>
              <w:divBdr>
                <w:top w:val="none" w:sz="0" w:space="0" w:color="auto"/>
                <w:left w:val="none" w:sz="0" w:space="0" w:color="auto"/>
                <w:bottom w:val="none" w:sz="0" w:space="0" w:color="auto"/>
                <w:right w:val="none" w:sz="0" w:space="0" w:color="auto"/>
              </w:divBdr>
            </w:div>
            <w:div w:id="176583569">
              <w:marLeft w:val="0"/>
              <w:marRight w:val="0"/>
              <w:marTop w:val="0"/>
              <w:marBottom w:val="90"/>
              <w:divBdr>
                <w:top w:val="none" w:sz="0" w:space="0" w:color="auto"/>
                <w:left w:val="none" w:sz="0" w:space="0" w:color="auto"/>
                <w:bottom w:val="none" w:sz="0" w:space="0" w:color="auto"/>
                <w:right w:val="none" w:sz="0" w:space="0" w:color="auto"/>
              </w:divBdr>
            </w:div>
            <w:div w:id="490678479">
              <w:marLeft w:val="0"/>
              <w:marRight w:val="0"/>
              <w:marTop w:val="0"/>
              <w:marBottom w:val="90"/>
              <w:divBdr>
                <w:top w:val="none" w:sz="0" w:space="0" w:color="auto"/>
                <w:left w:val="none" w:sz="0" w:space="0" w:color="auto"/>
                <w:bottom w:val="none" w:sz="0" w:space="0" w:color="auto"/>
                <w:right w:val="none" w:sz="0" w:space="0" w:color="auto"/>
              </w:divBdr>
            </w:div>
            <w:div w:id="859974553">
              <w:marLeft w:val="0"/>
              <w:marRight w:val="0"/>
              <w:marTop w:val="0"/>
              <w:marBottom w:val="90"/>
              <w:divBdr>
                <w:top w:val="none" w:sz="0" w:space="0" w:color="auto"/>
                <w:left w:val="none" w:sz="0" w:space="0" w:color="auto"/>
                <w:bottom w:val="none" w:sz="0" w:space="0" w:color="auto"/>
                <w:right w:val="none" w:sz="0" w:space="0" w:color="auto"/>
              </w:divBdr>
            </w:div>
            <w:div w:id="467237182">
              <w:marLeft w:val="0"/>
              <w:marRight w:val="0"/>
              <w:marTop w:val="0"/>
              <w:marBottom w:val="90"/>
              <w:divBdr>
                <w:top w:val="none" w:sz="0" w:space="0" w:color="auto"/>
                <w:left w:val="none" w:sz="0" w:space="0" w:color="auto"/>
                <w:bottom w:val="none" w:sz="0" w:space="0" w:color="auto"/>
                <w:right w:val="none" w:sz="0" w:space="0" w:color="auto"/>
              </w:divBdr>
            </w:div>
            <w:div w:id="2066293014">
              <w:marLeft w:val="0"/>
              <w:marRight w:val="0"/>
              <w:marTop w:val="0"/>
              <w:marBottom w:val="90"/>
              <w:divBdr>
                <w:top w:val="none" w:sz="0" w:space="0" w:color="auto"/>
                <w:left w:val="none" w:sz="0" w:space="0" w:color="auto"/>
                <w:bottom w:val="none" w:sz="0" w:space="0" w:color="auto"/>
                <w:right w:val="none" w:sz="0" w:space="0" w:color="auto"/>
              </w:divBdr>
            </w:div>
            <w:div w:id="1826164564">
              <w:marLeft w:val="0"/>
              <w:marRight w:val="0"/>
              <w:marTop w:val="0"/>
              <w:marBottom w:val="90"/>
              <w:divBdr>
                <w:top w:val="none" w:sz="0" w:space="0" w:color="auto"/>
                <w:left w:val="none" w:sz="0" w:space="0" w:color="auto"/>
                <w:bottom w:val="none" w:sz="0" w:space="0" w:color="auto"/>
                <w:right w:val="none" w:sz="0" w:space="0" w:color="auto"/>
              </w:divBdr>
            </w:div>
            <w:div w:id="230504021">
              <w:marLeft w:val="0"/>
              <w:marRight w:val="0"/>
              <w:marTop w:val="0"/>
              <w:marBottom w:val="90"/>
              <w:divBdr>
                <w:top w:val="none" w:sz="0" w:space="0" w:color="auto"/>
                <w:left w:val="none" w:sz="0" w:space="0" w:color="auto"/>
                <w:bottom w:val="none" w:sz="0" w:space="0" w:color="auto"/>
                <w:right w:val="none" w:sz="0" w:space="0" w:color="auto"/>
              </w:divBdr>
            </w:div>
            <w:div w:id="1738243780">
              <w:marLeft w:val="0"/>
              <w:marRight w:val="0"/>
              <w:marTop w:val="0"/>
              <w:marBottom w:val="90"/>
              <w:divBdr>
                <w:top w:val="none" w:sz="0" w:space="0" w:color="auto"/>
                <w:left w:val="none" w:sz="0" w:space="0" w:color="auto"/>
                <w:bottom w:val="none" w:sz="0" w:space="0" w:color="auto"/>
                <w:right w:val="none" w:sz="0" w:space="0" w:color="auto"/>
              </w:divBdr>
            </w:div>
            <w:div w:id="676425970">
              <w:marLeft w:val="0"/>
              <w:marRight w:val="0"/>
              <w:marTop w:val="0"/>
              <w:marBottom w:val="90"/>
              <w:divBdr>
                <w:top w:val="none" w:sz="0" w:space="0" w:color="auto"/>
                <w:left w:val="none" w:sz="0" w:space="0" w:color="auto"/>
                <w:bottom w:val="none" w:sz="0" w:space="0" w:color="auto"/>
                <w:right w:val="none" w:sz="0" w:space="0" w:color="auto"/>
              </w:divBdr>
            </w:div>
          </w:divsChild>
        </w:div>
        <w:div w:id="1447655981">
          <w:marLeft w:val="0"/>
          <w:marRight w:val="0"/>
          <w:marTop w:val="225"/>
          <w:marBottom w:val="150"/>
          <w:divBdr>
            <w:top w:val="none" w:sz="0" w:space="0" w:color="auto"/>
            <w:left w:val="none" w:sz="0" w:space="0" w:color="auto"/>
            <w:bottom w:val="none" w:sz="0" w:space="0" w:color="auto"/>
            <w:right w:val="none" w:sz="0" w:space="0" w:color="auto"/>
          </w:divBdr>
          <w:divsChild>
            <w:div w:id="17436011">
              <w:marLeft w:val="0"/>
              <w:marRight w:val="0"/>
              <w:marTop w:val="0"/>
              <w:marBottom w:val="90"/>
              <w:divBdr>
                <w:top w:val="none" w:sz="0" w:space="0" w:color="auto"/>
                <w:left w:val="none" w:sz="0" w:space="0" w:color="auto"/>
                <w:bottom w:val="none" w:sz="0" w:space="0" w:color="auto"/>
                <w:right w:val="none" w:sz="0" w:space="0" w:color="auto"/>
              </w:divBdr>
            </w:div>
            <w:div w:id="1057511442">
              <w:marLeft w:val="0"/>
              <w:marRight w:val="0"/>
              <w:marTop w:val="0"/>
              <w:marBottom w:val="90"/>
              <w:divBdr>
                <w:top w:val="none" w:sz="0" w:space="0" w:color="auto"/>
                <w:left w:val="none" w:sz="0" w:space="0" w:color="auto"/>
                <w:bottom w:val="none" w:sz="0" w:space="0" w:color="auto"/>
                <w:right w:val="none" w:sz="0" w:space="0" w:color="auto"/>
              </w:divBdr>
            </w:div>
            <w:div w:id="1385758882">
              <w:marLeft w:val="0"/>
              <w:marRight w:val="0"/>
              <w:marTop w:val="0"/>
              <w:marBottom w:val="90"/>
              <w:divBdr>
                <w:top w:val="none" w:sz="0" w:space="0" w:color="auto"/>
                <w:left w:val="none" w:sz="0" w:space="0" w:color="auto"/>
                <w:bottom w:val="none" w:sz="0" w:space="0" w:color="auto"/>
                <w:right w:val="none" w:sz="0" w:space="0" w:color="auto"/>
              </w:divBdr>
            </w:div>
            <w:div w:id="1226719679">
              <w:marLeft w:val="0"/>
              <w:marRight w:val="0"/>
              <w:marTop w:val="0"/>
              <w:marBottom w:val="90"/>
              <w:divBdr>
                <w:top w:val="none" w:sz="0" w:space="0" w:color="auto"/>
                <w:left w:val="none" w:sz="0" w:space="0" w:color="auto"/>
                <w:bottom w:val="none" w:sz="0" w:space="0" w:color="auto"/>
                <w:right w:val="none" w:sz="0" w:space="0" w:color="auto"/>
              </w:divBdr>
            </w:div>
            <w:div w:id="1217593483">
              <w:marLeft w:val="0"/>
              <w:marRight w:val="0"/>
              <w:marTop w:val="0"/>
              <w:marBottom w:val="90"/>
              <w:divBdr>
                <w:top w:val="none" w:sz="0" w:space="0" w:color="auto"/>
                <w:left w:val="none" w:sz="0" w:space="0" w:color="auto"/>
                <w:bottom w:val="none" w:sz="0" w:space="0" w:color="auto"/>
                <w:right w:val="none" w:sz="0" w:space="0" w:color="auto"/>
              </w:divBdr>
            </w:div>
          </w:divsChild>
        </w:div>
        <w:div w:id="605776367">
          <w:marLeft w:val="0"/>
          <w:marRight w:val="0"/>
          <w:marTop w:val="225"/>
          <w:marBottom w:val="150"/>
          <w:divBdr>
            <w:top w:val="none" w:sz="0" w:space="0" w:color="auto"/>
            <w:left w:val="none" w:sz="0" w:space="0" w:color="auto"/>
            <w:bottom w:val="none" w:sz="0" w:space="0" w:color="auto"/>
            <w:right w:val="none" w:sz="0" w:space="0" w:color="auto"/>
          </w:divBdr>
          <w:divsChild>
            <w:div w:id="1331526500">
              <w:marLeft w:val="0"/>
              <w:marRight w:val="0"/>
              <w:marTop w:val="0"/>
              <w:marBottom w:val="90"/>
              <w:divBdr>
                <w:top w:val="none" w:sz="0" w:space="0" w:color="auto"/>
                <w:left w:val="none" w:sz="0" w:space="0" w:color="auto"/>
                <w:bottom w:val="none" w:sz="0" w:space="0" w:color="auto"/>
                <w:right w:val="none" w:sz="0" w:space="0" w:color="auto"/>
              </w:divBdr>
            </w:div>
            <w:div w:id="1650593681">
              <w:marLeft w:val="0"/>
              <w:marRight w:val="0"/>
              <w:marTop w:val="0"/>
              <w:marBottom w:val="90"/>
              <w:divBdr>
                <w:top w:val="none" w:sz="0" w:space="0" w:color="auto"/>
                <w:left w:val="none" w:sz="0" w:space="0" w:color="auto"/>
                <w:bottom w:val="none" w:sz="0" w:space="0" w:color="auto"/>
                <w:right w:val="none" w:sz="0" w:space="0" w:color="auto"/>
              </w:divBdr>
            </w:div>
            <w:div w:id="993143849">
              <w:marLeft w:val="0"/>
              <w:marRight w:val="0"/>
              <w:marTop w:val="0"/>
              <w:marBottom w:val="90"/>
              <w:divBdr>
                <w:top w:val="none" w:sz="0" w:space="0" w:color="auto"/>
                <w:left w:val="none" w:sz="0" w:space="0" w:color="auto"/>
                <w:bottom w:val="none" w:sz="0" w:space="0" w:color="auto"/>
                <w:right w:val="none" w:sz="0" w:space="0" w:color="auto"/>
              </w:divBdr>
            </w:div>
            <w:div w:id="378865207">
              <w:marLeft w:val="0"/>
              <w:marRight w:val="0"/>
              <w:marTop w:val="0"/>
              <w:marBottom w:val="90"/>
              <w:divBdr>
                <w:top w:val="none" w:sz="0" w:space="0" w:color="auto"/>
                <w:left w:val="none" w:sz="0" w:space="0" w:color="auto"/>
                <w:bottom w:val="none" w:sz="0" w:space="0" w:color="auto"/>
                <w:right w:val="none" w:sz="0" w:space="0" w:color="auto"/>
              </w:divBdr>
            </w:div>
            <w:div w:id="1877310864">
              <w:marLeft w:val="0"/>
              <w:marRight w:val="0"/>
              <w:marTop w:val="0"/>
              <w:marBottom w:val="90"/>
              <w:divBdr>
                <w:top w:val="none" w:sz="0" w:space="0" w:color="auto"/>
                <w:left w:val="none" w:sz="0" w:space="0" w:color="auto"/>
                <w:bottom w:val="none" w:sz="0" w:space="0" w:color="auto"/>
                <w:right w:val="none" w:sz="0" w:space="0" w:color="auto"/>
              </w:divBdr>
            </w:div>
            <w:div w:id="974530244">
              <w:marLeft w:val="0"/>
              <w:marRight w:val="0"/>
              <w:marTop w:val="0"/>
              <w:marBottom w:val="90"/>
              <w:divBdr>
                <w:top w:val="none" w:sz="0" w:space="0" w:color="auto"/>
                <w:left w:val="none" w:sz="0" w:space="0" w:color="auto"/>
                <w:bottom w:val="none" w:sz="0" w:space="0" w:color="auto"/>
                <w:right w:val="none" w:sz="0" w:space="0" w:color="auto"/>
              </w:divBdr>
            </w:div>
            <w:div w:id="915239577">
              <w:marLeft w:val="0"/>
              <w:marRight w:val="0"/>
              <w:marTop w:val="0"/>
              <w:marBottom w:val="90"/>
              <w:divBdr>
                <w:top w:val="none" w:sz="0" w:space="0" w:color="auto"/>
                <w:left w:val="none" w:sz="0" w:space="0" w:color="auto"/>
                <w:bottom w:val="none" w:sz="0" w:space="0" w:color="auto"/>
                <w:right w:val="none" w:sz="0" w:space="0" w:color="auto"/>
              </w:divBdr>
            </w:div>
            <w:div w:id="3679472">
              <w:marLeft w:val="0"/>
              <w:marRight w:val="0"/>
              <w:marTop w:val="0"/>
              <w:marBottom w:val="90"/>
              <w:divBdr>
                <w:top w:val="none" w:sz="0" w:space="0" w:color="auto"/>
                <w:left w:val="none" w:sz="0" w:space="0" w:color="auto"/>
                <w:bottom w:val="none" w:sz="0" w:space="0" w:color="auto"/>
                <w:right w:val="none" w:sz="0" w:space="0" w:color="auto"/>
              </w:divBdr>
            </w:div>
            <w:div w:id="826212925">
              <w:marLeft w:val="0"/>
              <w:marRight w:val="0"/>
              <w:marTop w:val="0"/>
              <w:marBottom w:val="90"/>
              <w:divBdr>
                <w:top w:val="none" w:sz="0" w:space="0" w:color="auto"/>
                <w:left w:val="none" w:sz="0" w:space="0" w:color="auto"/>
                <w:bottom w:val="none" w:sz="0" w:space="0" w:color="auto"/>
                <w:right w:val="none" w:sz="0" w:space="0" w:color="auto"/>
              </w:divBdr>
            </w:div>
            <w:div w:id="1442190072">
              <w:marLeft w:val="0"/>
              <w:marRight w:val="0"/>
              <w:marTop w:val="0"/>
              <w:marBottom w:val="90"/>
              <w:divBdr>
                <w:top w:val="none" w:sz="0" w:space="0" w:color="auto"/>
                <w:left w:val="none" w:sz="0" w:space="0" w:color="auto"/>
                <w:bottom w:val="none" w:sz="0" w:space="0" w:color="auto"/>
                <w:right w:val="none" w:sz="0" w:space="0" w:color="auto"/>
              </w:divBdr>
            </w:div>
            <w:div w:id="864710914">
              <w:marLeft w:val="0"/>
              <w:marRight w:val="0"/>
              <w:marTop w:val="0"/>
              <w:marBottom w:val="90"/>
              <w:divBdr>
                <w:top w:val="none" w:sz="0" w:space="0" w:color="auto"/>
                <w:left w:val="none" w:sz="0" w:space="0" w:color="auto"/>
                <w:bottom w:val="none" w:sz="0" w:space="0" w:color="auto"/>
                <w:right w:val="none" w:sz="0" w:space="0" w:color="auto"/>
              </w:divBdr>
            </w:div>
            <w:div w:id="1955936237">
              <w:marLeft w:val="0"/>
              <w:marRight w:val="0"/>
              <w:marTop w:val="0"/>
              <w:marBottom w:val="90"/>
              <w:divBdr>
                <w:top w:val="none" w:sz="0" w:space="0" w:color="auto"/>
                <w:left w:val="none" w:sz="0" w:space="0" w:color="auto"/>
                <w:bottom w:val="none" w:sz="0" w:space="0" w:color="auto"/>
                <w:right w:val="none" w:sz="0" w:space="0" w:color="auto"/>
              </w:divBdr>
            </w:div>
          </w:divsChild>
        </w:div>
        <w:div w:id="1247768665">
          <w:marLeft w:val="0"/>
          <w:marRight w:val="0"/>
          <w:marTop w:val="225"/>
          <w:marBottom w:val="150"/>
          <w:divBdr>
            <w:top w:val="none" w:sz="0" w:space="0" w:color="auto"/>
            <w:left w:val="none" w:sz="0" w:space="0" w:color="auto"/>
            <w:bottom w:val="none" w:sz="0" w:space="0" w:color="auto"/>
            <w:right w:val="none" w:sz="0" w:space="0" w:color="auto"/>
          </w:divBdr>
          <w:divsChild>
            <w:div w:id="239946178">
              <w:marLeft w:val="0"/>
              <w:marRight w:val="0"/>
              <w:marTop w:val="0"/>
              <w:marBottom w:val="90"/>
              <w:divBdr>
                <w:top w:val="none" w:sz="0" w:space="0" w:color="auto"/>
                <w:left w:val="none" w:sz="0" w:space="0" w:color="auto"/>
                <w:bottom w:val="none" w:sz="0" w:space="0" w:color="auto"/>
                <w:right w:val="none" w:sz="0" w:space="0" w:color="auto"/>
              </w:divBdr>
            </w:div>
            <w:div w:id="931863735">
              <w:marLeft w:val="0"/>
              <w:marRight w:val="0"/>
              <w:marTop w:val="0"/>
              <w:marBottom w:val="90"/>
              <w:divBdr>
                <w:top w:val="none" w:sz="0" w:space="0" w:color="auto"/>
                <w:left w:val="none" w:sz="0" w:space="0" w:color="auto"/>
                <w:bottom w:val="none" w:sz="0" w:space="0" w:color="auto"/>
                <w:right w:val="none" w:sz="0" w:space="0" w:color="auto"/>
              </w:divBdr>
            </w:div>
            <w:div w:id="657222381">
              <w:marLeft w:val="0"/>
              <w:marRight w:val="0"/>
              <w:marTop w:val="0"/>
              <w:marBottom w:val="90"/>
              <w:divBdr>
                <w:top w:val="none" w:sz="0" w:space="0" w:color="auto"/>
                <w:left w:val="none" w:sz="0" w:space="0" w:color="auto"/>
                <w:bottom w:val="none" w:sz="0" w:space="0" w:color="auto"/>
                <w:right w:val="none" w:sz="0" w:space="0" w:color="auto"/>
              </w:divBdr>
            </w:div>
            <w:div w:id="769817986">
              <w:marLeft w:val="0"/>
              <w:marRight w:val="0"/>
              <w:marTop w:val="0"/>
              <w:marBottom w:val="90"/>
              <w:divBdr>
                <w:top w:val="none" w:sz="0" w:space="0" w:color="auto"/>
                <w:left w:val="none" w:sz="0" w:space="0" w:color="auto"/>
                <w:bottom w:val="none" w:sz="0" w:space="0" w:color="auto"/>
                <w:right w:val="none" w:sz="0" w:space="0" w:color="auto"/>
              </w:divBdr>
            </w:div>
            <w:div w:id="578518746">
              <w:marLeft w:val="0"/>
              <w:marRight w:val="0"/>
              <w:marTop w:val="0"/>
              <w:marBottom w:val="90"/>
              <w:divBdr>
                <w:top w:val="none" w:sz="0" w:space="0" w:color="auto"/>
                <w:left w:val="none" w:sz="0" w:space="0" w:color="auto"/>
                <w:bottom w:val="none" w:sz="0" w:space="0" w:color="auto"/>
                <w:right w:val="none" w:sz="0" w:space="0" w:color="auto"/>
              </w:divBdr>
            </w:div>
            <w:div w:id="751514686">
              <w:marLeft w:val="0"/>
              <w:marRight w:val="0"/>
              <w:marTop w:val="0"/>
              <w:marBottom w:val="90"/>
              <w:divBdr>
                <w:top w:val="none" w:sz="0" w:space="0" w:color="auto"/>
                <w:left w:val="none" w:sz="0" w:space="0" w:color="auto"/>
                <w:bottom w:val="none" w:sz="0" w:space="0" w:color="auto"/>
                <w:right w:val="none" w:sz="0" w:space="0" w:color="auto"/>
              </w:divBdr>
            </w:div>
          </w:divsChild>
        </w:div>
        <w:div w:id="1736391178">
          <w:marLeft w:val="0"/>
          <w:marRight w:val="0"/>
          <w:marTop w:val="225"/>
          <w:marBottom w:val="150"/>
          <w:divBdr>
            <w:top w:val="none" w:sz="0" w:space="0" w:color="auto"/>
            <w:left w:val="none" w:sz="0" w:space="0" w:color="auto"/>
            <w:bottom w:val="none" w:sz="0" w:space="0" w:color="auto"/>
            <w:right w:val="none" w:sz="0" w:space="0" w:color="auto"/>
          </w:divBdr>
          <w:divsChild>
            <w:div w:id="761877188">
              <w:marLeft w:val="0"/>
              <w:marRight w:val="0"/>
              <w:marTop w:val="0"/>
              <w:marBottom w:val="90"/>
              <w:divBdr>
                <w:top w:val="none" w:sz="0" w:space="0" w:color="auto"/>
                <w:left w:val="none" w:sz="0" w:space="0" w:color="auto"/>
                <w:bottom w:val="none" w:sz="0" w:space="0" w:color="auto"/>
                <w:right w:val="none" w:sz="0" w:space="0" w:color="auto"/>
              </w:divBdr>
            </w:div>
            <w:div w:id="1340154818">
              <w:marLeft w:val="0"/>
              <w:marRight w:val="0"/>
              <w:marTop w:val="0"/>
              <w:marBottom w:val="90"/>
              <w:divBdr>
                <w:top w:val="none" w:sz="0" w:space="0" w:color="auto"/>
                <w:left w:val="none" w:sz="0" w:space="0" w:color="auto"/>
                <w:bottom w:val="none" w:sz="0" w:space="0" w:color="auto"/>
                <w:right w:val="none" w:sz="0" w:space="0" w:color="auto"/>
              </w:divBdr>
            </w:div>
          </w:divsChild>
        </w:div>
        <w:div w:id="1133062700">
          <w:marLeft w:val="0"/>
          <w:marRight w:val="0"/>
          <w:marTop w:val="225"/>
          <w:marBottom w:val="150"/>
          <w:divBdr>
            <w:top w:val="none" w:sz="0" w:space="0" w:color="auto"/>
            <w:left w:val="none" w:sz="0" w:space="0" w:color="auto"/>
            <w:bottom w:val="none" w:sz="0" w:space="0" w:color="auto"/>
            <w:right w:val="none" w:sz="0" w:space="0" w:color="auto"/>
          </w:divBdr>
          <w:divsChild>
            <w:div w:id="755130475">
              <w:marLeft w:val="0"/>
              <w:marRight w:val="0"/>
              <w:marTop w:val="0"/>
              <w:marBottom w:val="90"/>
              <w:divBdr>
                <w:top w:val="none" w:sz="0" w:space="0" w:color="auto"/>
                <w:left w:val="none" w:sz="0" w:space="0" w:color="auto"/>
                <w:bottom w:val="none" w:sz="0" w:space="0" w:color="auto"/>
                <w:right w:val="none" w:sz="0" w:space="0" w:color="auto"/>
              </w:divBdr>
            </w:div>
            <w:div w:id="2088841478">
              <w:marLeft w:val="0"/>
              <w:marRight w:val="0"/>
              <w:marTop w:val="0"/>
              <w:marBottom w:val="90"/>
              <w:divBdr>
                <w:top w:val="none" w:sz="0" w:space="0" w:color="auto"/>
                <w:left w:val="none" w:sz="0" w:space="0" w:color="auto"/>
                <w:bottom w:val="none" w:sz="0" w:space="0" w:color="auto"/>
                <w:right w:val="none" w:sz="0" w:space="0" w:color="auto"/>
              </w:divBdr>
            </w:div>
            <w:div w:id="999424248">
              <w:marLeft w:val="0"/>
              <w:marRight w:val="0"/>
              <w:marTop w:val="0"/>
              <w:marBottom w:val="90"/>
              <w:divBdr>
                <w:top w:val="none" w:sz="0" w:space="0" w:color="auto"/>
                <w:left w:val="none" w:sz="0" w:space="0" w:color="auto"/>
                <w:bottom w:val="none" w:sz="0" w:space="0" w:color="auto"/>
                <w:right w:val="none" w:sz="0" w:space="0" w:color="auto"/>
              </w:divBdr>
            </w:div>
          </w:divsChild>
        </w:div>
        <w:div w:id="247740139">
          <w:marLeft w:val="0"/>
          <w:marRight w:val="0"/>
          <w:marTop w:val="225"/>
          <w:marBottom w:val="150"/>
          <w:divBdr>
            <w:top w:val="none" w:sz="0" w:space="0" w:color="auto"/>
            <w:left w:val="none" w:sz="0" w:space="0" w:color="auto"/>
            <w:bottom w:val="none" w:sz="0" w:space="0" w:color="auto"/>
            <w:right w:val="none" w:sz="0" w:space="0" w:color="auto"/>
          </w:divBdr>
          <w:divsChild>
            <w:div w:id="1672298461">
              <w:marLeft w:val="0"/>
              <w:marRight w:val="0"/>
              <w:marTop w:val="0"/>
              <w:marBottom w:val="90"/>
              <w:divBdr>
                <w:top w:val="none" w:sz="0" w:space="0" w:color="auto"/>
                <w:left w:val="none" w:sz="0" w:space="0" w:color="auto"/>
                <w:bottom w:val="none" w:sz="0" w:space="0" w:color="auto"/>
                <w:right w:val="none" w:sz="0" w:space="0" w:color="auto"/>
              </w:divBdr>
            </w:div>
            <w:div w:id="242572889">
              <w:marLeft w:val="0"/>
              <w:marRight w:val="0"/>
              <w:marTop w:val="0"/>
              <w:marBottom w:val="90"/>
              <w:divBdr>
                <w:top w:val="none" w:sz="0" w:space="0" w:color="auto"/>
                <w:left w:val="none" w:sz="0" w:space="0" w:color="auto"/>
                <w:bottom w:val="none" w:sz="0" w:space="0" w:color="auto"/>
                <w:right w:val="none" w:sz="0" w:space="0" w:color="auto"/>
              </w:divBdr>
            </w:div>
            <w:div w:id="259678872">
              <w:marLeft w:val="0"/>
              <w:marRight w:val="0"/>
              <w:marTop w:val="0"/>
              <w:marBottom w:val="90"/>
              <w:divBdr>
                <w:top w:val="none" w:sz="0" w:space="0" w:color="auto"/>
                <w:left w:val="none" w:sz="0" w:space="0" w:color="auto"/>
                <w:bottom w:val="none" w:sz="0" w:space="0" w:color="auto"/>
                <w:right w:val="none" w:sz="0" w:space="0" w:color="auto"/>
              </w:divBdr>
            </w:div>
            <w:div w:id="325128792">
              <w:marLeft w:val="0"/>
              <w:marRight w:val="0"/>
              <w:marTop w:val="0"/>
              <w:marBottom w:val="90"/>
              <w:divBdr>
                <w:top w:val="none" w:sz="0" w:space="0" w:color="auto"/>
                <w:left w:val="none" w:sz="0" w:space="0" w:color="auto"/>
                <w:bottom w:val="none" w:sz="0" w:space="0" w:color="auto"/>
                <w:right w:val="none" w:sz="0" w:space="0" w:color="auto"/>
              </w:divBdr>
            </w:div>
            <w:div w:id="900095484">
              <w:marLeft w:val="0"/>
              <w:marRight w:val="0"/>
              <w:marTop w:val="0"/>
              <w:marBottom w:val="90"/>
              <w:divBdr>
                <w:top w:val="none" w:sz="0" w:space="0" w:color="auto"/>
                <w:left w:val="none" w:sz="0" w:space="0" w:color="auto"/>
                <w:bottom w:val="none" w:sz="0" w:space="0" w:color="auto"/>
                <w:right w:val="none" w:sz="0" w:space="0" w:color="auto"/>
              </w:divBdr>
            </w:div>
            <w:div w:id="2032220618">
              <w:marLeft w:val="0"/>
              <w:marRight w:val="0"/>
              <w:marTop w:val="0"/>
              <w:marBottom w:val="90"/>
              <w:divBdr>
                <w:top w:val="none" w:sz="0" w:space="0" w:color="auto"/>
                <w:left w:val="none" w:sz="0" w:space="0" w:color="auto"/>
                <w:bottom w:val="none" w:sz="0" w:space="0" w:color="auto"/>
                <w:right w:val="none" w:sz="0" w:space="0" w:color="auto"/>
              </w:divBdr>
            </w:div>
          </w:divsChild>
        </w:div>
        <w:div w:id="496310682">
          <w:marLeft w:val="0"/>
          <w:marRight w:val="0"/>
          <w:marTop w:val="225"/>
          <w:marBottom w:val="150"/>
          <w:divBdr>
            <w:top w:val="none" w:sz="0" w:space="0" w:color="auto"/>
            <w:left w:val="none" w:sz="0" w:space="0" w:color="auto"/>
            <w:bottom w:val="none" w:sz="0" w:space="0" w:color="auto"/>
            <w:right w:val="none" w:sz="0" w:space="0" w:color="auto"/>
          </w:divBdr>
          <w:divsChild>
            <w:div w:id="1980912921">
              <w:marLeft w:val="0"/>
              <w:marRight w:val="0"/>
              <w:marTop w:val="0"/>
              <w:marBottom w:val="90"/>
              <w:divBdr>
                <w:top w:val="none" w:sz="0" w:space="0" w:color="auto"/>
                <w:left w:val="none" w:sz="0" w:space="0" w:color="auto"/>
                <w:bottom w:val="none" w:sz="0" w:space="0" w:color="auto"/>
                <w:right w:val="none" w:sz="0" w:space="0" w:color="auto"/>
              </w:divBdr>
            </w:div>
            <w:div w:id="1516075397">
              <w:marLeft w:val="0"/>
              <w:marRight w:val="0"/>
              <w:marTop w:val="0"/>
              <w:marBottom w:val="0"/>
              <w:divBdr>
                <w:top w:val="none" w:sz="0" w:space="0" w:color="auto"/>
                <w:left w:val="none" w:sz="0" w:space="0" w:color="auto"/>
                <w:bottom w:val="none" w:sz="0" w:space="0" w:color="auto"/>
                <w:right w:val="none" w:sz="0" w:space="0" w:color="auto"/>
              </w:divBdr>
            </w:div>
          </w:divsChild>
        </w:div>
        <w:div w:id="1318418421">
          <w:marLeft w:val="0"/>
          <w:marRight w:val="0"/>
          <w:marTop w:val="225"/>
          <w:marBottom w:val="150"/>
          <w:divBdr>
            <w:top w:val="none" w:sz="0" w:space="0" w:color="auto"/>
            <w:left w:val="none" w:sz="0" w:space="0" w:color="auto"/>
            <w:bottom w:val="none" w:sz="0" w:space="0" w:color="auto"/>
            <w:right w:val="none" w:sz="0" w:space="0" w:color="auto"/>
          </w:divBdr>
          <w:divsChild>
            <w:div w:id="694307401">
              <w:marLeft w:val="0"/>
              <w:marRight w:val="0"/>
              <w:marTop w:val="0"/>
              <w:marBottom w:val="90"/>
              <w:divBdr>
                <w:top w:val="none" w:sz="0" w:space="0" w:color="auto"/>
                <w:left w:val="none" w:sz="0" w:space="0" w:color="auto"/>
                <w:bottom w:val="none" w:sz="0" w:space="0" w:color="auto"/>
                <w:right w:val="none" w:sz="0" w:space="0" w:color="auto"/>
              </w:divBdr>
            </w:div>
            <w:div w:id="1674606038">
              <w:marLeft w:val="0"/>
              <w:marRight w:val="0"/>
              <w:marTop w:val="0"/>
              <w:marBottom w:val="90"/>
              <w:divBdr>
                <w:top w:val="none" w:sz="0" w:space="0" w:color="auto"/>
                <w:left w:val="none" w:sz="0" w:space="0" w:color="auto"/>
                <w:bottom w:val="none" w:sz="0" w:space="0" w:color="auto"/>
                <w:right w:val="none" w:sz="0" w:space="0" w:color="auto"/>
              </w:divBdr>
            </w:div>
            <w:div w:id="1086606788">
              <w:marLeft w:val="0"/>
              <w:marRight w:val="0"/>
              <w:marTop w:val="0"/>
              <w:marBottom w:val="90"/>
              <w:divBdr>
                <w:top w:val="none" w:sz="0" w:space="0" w:color="auto"/>
                <w:left w:val="none" w:sz="0" w:space="0" w:color="auto"/>
                <w:bottom w:val="none" w:sz="0" w:space="0" w:color="auto"/>
                <w:right w:val="none" w:sz="0" w:space="0" w:color="auto"/>
              </w:divBdr>
            </w:div>
            <w:div w:id="2063168495">
              <w:marLeft w:val="0"/>
              <w:marRight w:val="0"/>
              <w:marTop w:val="0"/>
              <w:marBottom w:val="90"/>
              <w:divBdr>
                <w:top w:val="none" w:sz="0" w:space="0" w:color="auto"/>
                <w:left w:val="none" w:sz="0" w:space="0" w:color="auto"/>
                <w:bottom w:val="none" w:sz="0" w:space="0" w:color="auto"/>
                <w:right w:val="none" w:sz="0" w:space="0" w:color="auto"/>
              </w:divBdr>
            </w:div>
          </w:divsChild>
        </w:div>
        <w:div w:id="1887057914">
          <w:marLeft w:val="0"/>
          <w:marRight w:val="0"/>
          <w:marTop w:val="225"/>
          <w:marBottom w:val="150"/>
          <w:divBdr>
            <w:top w:val="none" w:sz="0" w:space="0" w:color="auto"/>
            <w:left w:val="none" w:sz="0" w:space="0" w:color="auto"/>
            <w:bottom w:val="none" w:sz="0" w:space="0" w:color="auto"/>
            <w:right w:val="none" w:sz="0" w:space="0" w:color="auto"/>
          </w:divBdr>
          <w:divsChild>
            <w:div w:id="601183591">
              <w:marLeft w:val="0"/>
              <w:marRight w:val="0"/>
              <w:marTop w:val="0"/>
              <w:marBottom w:val="90"/>
              <w:divBdr>
                <w:top w:val="none" w:sz="0" w:space="0" w:color="auto"/>
                <w:left w:val="none" w:sz="0" w:space="0" w:color="auto"/>
                <w:bottom w:val="none" w:sz="0" w:space="0" w:color="auto"/>
                <w:right w:val="none" w:sz="0" w:space="0" w:color="auto"/>
              </w:divBdr>
            </w:div>
          </w:divsChild>
        </w:div>
        <w:div w:id="1574772705">
          <w:marLeft w:val="0"/>
          <w:marRight w:val="0"/>
          <w:marTop w:val="225"/>
          <w:marBottom w:val="150"/>
          <w:divBdr>
            <w:top w:val="none" w:sz="0" w:space="0" w:color="auto"/>
            <w:left w:val="none" w:sz="0" w:space="0" w:color="auto"/>
            <w:bottom w:val="none" w:sz="0" w:space="0" w:color="auto"/>
            <w:right w:val="none" w:sz="0" w:space="0" w:color="auto"/>
          </w:divBdr>
          <w:divsChild>
            <w:div w:id="129054626">
              <w:marLeft w:val="0"/>
              <w:marRight w:val="0"/>
              <w:marTop w:val="0"/>
              <w:marBottom w:val="90"/>
              <w:divBdr>
                <w:top w:val="none" w:sz="0" w:space="0" w:color="auto"/>
                <w:left w:val="none" w:sz="0" w:space="0" w:color="auto"/>
                <w:bottom w:val="none" w:sz="0" w:space="0" w:color="auto"/>
                <w:right w:val="none" w:sz="0" w:space="0" w:color="auto"/>
              </w:divBdr>
            </w:div>
          </w:divsChild>
        </w:div>
        <w:div w:id="238104292">
          <w:marLeft w:val="0"/>
          <w:marRight w:val="0"/>
          <w:marTop w:val="225"/>
          <w:marBottom w:val="150"/>
          <w:divBdr>
            <w:top w:val="none" w:sz="0" w:space="0" w:color="auto"/>
            <w:left w:val="none" w:sz="0" w:space="0" w:color="auto"/>
            <w:bottom w:val="none" w:sz="0" w:space="0" w:color="auto"/>
            <w:right w:val="none" w:sz="0" w:space="0" w:color="auto"/>
          </w:divBdr>
          <w:divsChild>
            <w:div w:id="165295201">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3204</Words>
  <Characters>18269</Characters>
  <Application>Microsoft Office Word</Application>
  <DocSecurity>0</DocSecurity>
  <Lines>152</Lines>
  <Paragraphs>42</Paragraphs>
  <ScaleCrop>false</ScaleCrop>
  <Company/>
  <LinksUpToDate>false</LinksUpToDate>
  <CharactersWithSpaces>21431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Mickael Pallier</dc:creator>
  <cp:keywords/>
  <dc:description/>
  <cp:lastModifiedBy>Mickael Pallier</cp:lastModifiedBy>
  <cp:revision>2</cp:revision>
  <dcterms:created xsi:type="dcterms:W3CDTF">2025-12-09T21:23:00Z</dcterms:created>
  <dcterms:modified xsi:type="dcterms:W3CDTF">2025-12-09T21:23:00Z</dcterms:modified>
</cp:coreProperties>
</file>