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C0F693" w14:textId="77777777" w:rsidR="005B2012" w:rsidRDefault="005B2012">
      <w:pPr>
        <w:jc w:val="center"/>
        <w:divId w:val="1377198725"/>
        <w:rPr>
          <w:rFonts w:ascii="Arial" w:eastAsia="Times New Roman" w:hAnsi="Arial" w:cs="Arial"/>
          <w:b/>
          <w:bCs/>
          <w:color w:val="022A4C"/>
          <w:sz w:val="18"/>
          <w:szCs w:val="18"/>
        </w:rPr>
      </w:pPr>
      <w:r>
        <w:rPr>
          <w:rFonts w:ascii="Arial" w:eastAsia="Times New Roman" w:hAnsi="Arial" w:cs="Arial"/>
          <w:b/>
          <w:bCs/>
          <w:color w:val="022A4C"/>
          <w:sz w:val="18"/>
          <w:szCs w:val="18"/>
        </w:rPr>
        <w:t>NOTICE</w:t>
      </w:r>
    </w:p>
    <w:p w14:paraId="2CC05A11" w14:textId="77777777" w:rsidR="005B2012" w:rsidRDefault="005B2012">
      <w:pPr>
        <w:jc w:val="both"/>
        <w:textAlignment w:val="center"/>
        <w:divId w:val="832525403"/>
        <w:rPr>
          <w:rFonts w:ascii="Arial" w:eastAsia="Times New Roman" w:hAnsi="Arial" w:cs="Arial"/>
          <w:color w:val="022A4C"/>
          <w:sz w:val="18"/>
          <w:szCs w:val="18"/>
        </w:rPr>
      </w:pPr>
      <w:r>
        <w:rPr>
          <w:rFonts w:ascii="Arial" w:eastAsia="Times New Roman" w:hAnsi="Arial" w:cs="Arial"/>
          <w:color w:val="022A4C"/>
          <w:sz w:val="18"/>
          <w:szCs w:val="18"/>
        </w:rPr>
        <w:t xml:space="preserve">DISCLAIMER. The information contained in this publication is subject to constant review in the light of changing government requirements and regulations. No subscriber or other reader should act </w:t>
      </w:r>
      <w:proofErr w:type="gramStart"/>
      <w:r>
        <w:rPr>
          <w:rFonts w:ascii="Arial" w:eastAsia="Times New Roman" w:hAnsi="Arial" w:cs="Arial"/>
          <w:color w:val="022A4C"/>
          <w:sz w:val="18"/>
          <w:szCs w:val="18"/>
        </w:rPr>
        <w:t>on the basis of</w:t>
      </w:r>
      <w:proofErr w:type="gramEnd"/>
      <w:r>
        <w:rPr>
          <w:rFonts w:ascii="Arial" w:eastAsia="Times New Roman" w:hAnsi="Arial" w:cs="Arial"/>
          <w:color w:val="022A4C"/>
          <w:sz w:val="18"/>
          <w:szCs w:val="18"/>
        </w:rPr>
        <w:t xml:space="preserve"> any such information without referring to applicable laws and regulations and/or without taking appropriate professional advice. Although every effort has been made to ensure accuracy, the International Air Transport Association shall not be held responsible for any loss or damage caused by errors, omissions, </w:t>
      </w:r>
      <w:proofErr w:type="gramStart"/>
      <w:r>
        <w:rPr>
          <w:rFonts w:ascii="Arial" w:eastAsia="Times New Roman" w:hAnsi="Arial" w:cs="Arial"/>
          <w:color w:val="022A4C"/>
          <w:sz w:val="18"/>
          <w:szCs w:val="18"/>
        </w:rPr>
        <w:t>misprints</w:t>
      </w:r>
      <w:proofErr w:type="gramEnd"/>
      <w:r>
        <w:rPr>
          <w:rFonts w:ascii="Arial" w:eastAsia="Times New Roman" w:hAnsi="Arial" w:cs="Arial"/>
          <w:color w:val="022A4C"/>
          <w:sz w:val="18"/>
          <w:szCs w:val="18"/>
        </w:rPr>
        <w:t xml:space="preserve"> or misinterpretation of the contents hereof. Furthermore, the International Air Transport Association expressly disclaims </w:t>
      </w:r>
      <w:proofErr w:type="gramStart"/>
      <w:r>
        <w:rPr>
          <w:rFonts w:ascii="Arial" w:eastAsia="Times New Roman" w:hAnsi="Arial" w:cs="Arial"/>
          <w:color w:val="022A4C"/>
          <w:sz w:val="18"/>
          <w:szCs w:val="18"/>
        </w:rPr>
        <w:t>any and all</w:t>
      </w:r>
      <w:proofErr w:type="gramEnd"/>
      <w:r>
        <w:rPr>
          <w:rFonts w:ascii="Arial" w:eastAsia="Times New Roman" w:hAnsi="Arial" w:cs="Arial"/>
          <w:color w:val="022A4C"/>
          <w:sz w:val="18"/>
          <w:szCs w:val="18"/>
        </w:rPr>
        <w:t xml:space="preserve"> liability to any person or entity, whether a purchaser of this publication or not, in respect of anything done or omitted, and the consequences of anything done or omitted, by any such person or entity in reliance on the contents of this publication. </w:t>
      </w:r>
    </w:p>
    <w:p w14:paraId="6A4C10E5" w14:textId="77777777" w:rsidR="005B2012" w:rsidRDefault="005B2012">
      <w:pPr>
        <w:jc w:val="both"/>
        <w:textAlignment w:val="center"/>
        <w:divId w:val="545945920"/>
        <w:rPr>
          <w:rFonts w:ascii="Arial" w:eastAsia="Times New Roman" w:hAnsi="Arial" w:cs="Arial"/>
          <w:color w:val="022A4C"/>
          <w:sz w:val="18"/>
          <w:szCs w:val="18"/>
        </w:rPr>
      </w:pPr>
      <w:r>
        <w:rPr>
          <w:rFonts w:ascii="Arial" w:eastAsia="Times New Roman" w:hAnsi="Arial" w:cs="Arial"/>
          <w:color w:val="022A4C"/>
          <w:sz w:val="18"/>
          <w:szCs w:val="18"/>
        </w:rPr>
        <w:t xml:space="preserve">© International Air Transport Association. All Rights Reserved. No part of this publication may be reproduced, recast, </w:t>
      </w:r>
      <w:proofErr w:type="gramStart"/>
      <w:r>
        <w:rPr>
          <w:rFonts w:ascii="Arial" w:eastAsia="Times New Roman" w:hAnsi="Arial" w:cs="Arial"/>
          <w:color w:val="022A4C"/>
          <w:sz w:val="18"/>
          <w:szCs w:val="18"/>
        </w:rPr>
        <w:t>reformatted</w:t>
      </w:r>
      <w:proofErr w:type="gramEnd"/>
      <w:r>
        <w:rPr>
          <w:rFonts w:ascii="Arial" w:eastAsia="Times New Roman" w:hAnsi="Arial" w:cs="Arial"/>
          <w:color w:val="022A4C"/>
          <w:sz w:val="18"/>
          <w:szCs w:val="18"/>
        </w:rPr>
        <w:t xml:space="preserve"> or transmitted in any form by any means, electronic or mechanical, including photocopying, recording or any information storage and retrieval system, without the prior written permission from: </w:t>
      </w:r>
    </w:p>
    <w:p w14:paraId="03310F6A" w14:textId="77777777" w:rsidR="005B2012" w:rsidRDefault="005B2012">
      <w:pPr>
        <w:jc w:val="center"/>
        <w:textAlignment w:val="center"/>
        <w:divId w:val="1496336551"/>
        <w:rPr>
          <w:rFonts w:ascii="Arial" w:eastAsia="Times New Roman" w:hAnsi="Arial" w:cs="Arial"/>
          <w:color w:val="022A4C"/>
          <w:sz w:val="18"/>
          <w:szCs w:val="18"/>
        </w:rPr>
      </w:pPr>
      <w:r>
        <w:rPr>
          <w:rFonts w:ascii="Arial" w:eastAsia="Times New Roman" w:hAnsi="Arial" w:cs="Arial"/>
          <w:color w:val="022A4C"/>
          <w:sz w:val="18"/>
          <w:szCs w:val="18"/>
        </w:rPr>
        <w:t>Senior Vice President</w:t>
      </w:r>
    </w:p>
    <w:p w14:paraId="0C291068" w14:textId="77777777" w:rsidR="005B2012" w:rsidRDefault="005B2012">
      <w:pPr>
        <w:jc w:val="center"/>
        <w:textAlignment w:val="center"/>
        <w:divId w:val="1024747728"/>
        <w:rPr>
          <w:rFonts w:ascii="Arial" w:eastAsia="Times New Roman" w:hAnsi="Arial" w:cs="Arial"/>
          <w:color w:val="022A4C"/>
          <w:sz w:val="18"/>
          <w:szCs w:val="18"/>
        </w:rPr>
      </w:pPr>
      <w:r>
        <w:rPr>
          <w:rFonts w:ascii="Arial" w:eastAsia="Times New Roman" w:hAnsi="Arial" w:cs="Arial"/>
          <w:color w:val="022A4C"/>
          <w:sz w:val="18"/>
          <w:szCs w:val="18"/>
        </w:rPr>
        <w:t>Operations, Safety and Security</w:t>
      </w:r>
    </w:p>
    <w:p w14:paraId="1E67106C" w14:textId="77777777" w:rsidR="005B2012" w:rsidRDefault="005B2012">
      <w:pPr>
        <w:jc w:val="center"/>
        <w:textAlignment w:val="center"/>
        <w:divId w:val="243102405"/>
        <w:rPr>
          <w:rFonts w:ascii="Arial" w:eastAsia="Times New Roman" w:hAnsi="Arial" w:cs="Arial"/>
          <w:color w:val="022A4C"/>
          <w:sz w:val="18"/>
          <w:szCs w:val="18"/>
        </w:rPr>
      </w:pPr>
      <w:r>
        <w:rPr>
          <w:rFonts w:ascii="Arial" w:eastAsia="Times New Roman" w:hAnsi="Arial" w:cs="Arial"/>
          <w:color w:val="022A4C"/>
          <w:sz w:val="18"/>
          <w:szCs w:val="18"/>
        </w:rPr>
        <w:t>International Air Transport Association</w:t>
      </w:r>
    </w:p>
    <w:p w14:paraId="72EDB0E6" w14:textId="77777777" w:rsidR="005B2012" w:rsidRDefault="005B2012">
      <w:pPr>
        <w:jc w:val="center"/>
        <w:textAlignment w:val="center"/>
        <w:divId w:val="1847860374"/>
        <w:rPr>
          <w:rFonts w:ascii="Arial" w:eastAsia="Times New Roman" w:hAnsi="Arial" w:cs="Arial"/>
          <w:color w:val="022A4C"/>
          <w:sz w:val="18"/>
          <w:szCs w:val="18"/>
        </w:rPr>
      </w:pPr>
      <w:r>
        <w:rPr>
          <w:rFonts w:ascii="Arial" w:eastAsia="Times New Roman" w:hAnsi="Arial" w:cs="Arial"/>
          <w:color w:val="022A4C"/>
          <w:sz w:val="18"/>
          <w:szCs w:val="18"/>
        </w:rPr>
        <w:t>800 Place Victoria</w:t>
      </w:r>
    </w:p>
    <w:p w14:paraId="23A868EC" w14:textId="77777777" w:rsidR="005B2012" w:rsidRDefault="005B2012">
      <w:pPr>
        <w:jc w:val="center"/>
        <w:textAlignment w:val="center"/>
        <w:divId w:val="988095528"/>
        <w:rPr>
          <w:rFonts w:ascii="Arial" w:eastAsia="Times New Roman" w:hAnsi="Arial" w:cs="Arial"/>
          <w:color w:val="022A4C"/>
          <w:sz w:val="18"/>
          <w:szCs w:val="18"/>
        </w:rPr>
      </w:pPr>
      <w:r>
        <w:rPr>
          <w:rFonts w:ascii="Arial" w:eastAsia="Times New Roman" w:hAnsi="Arial" w:cs="Arial"/>
          <w:color w:val="022A4C"/>
          <w:sz w:val="18"/>
          <w:szCs w:val="18"/>
        </w:rPr>
        <w:t>P.O. Box 113</w:t>
      </w:r>
    </w:p>
    <w:p w14:paraId="0ECDDD42" w14:textId="77777777" w:rsidR="005B2012" w:rsidRDefault="005B2012">
      <w:pPr>
        <w:jc w:val="center"/>
        <w:textAlignment w:val="center"/>
        <w:divId w:val="475875864"/>
        <w:rPr>
          <w:rFonts w:ascii="Arial" w:eastAsia="Times New Roman" w:hAnsi="Arial" w:cs="Arial"/>
          <w:color w:val="022A4C"/>
          <w:sz w:val="18"/>
          <w:szCs w:val="18"/>
        </w:rPr>
      </w:pPr>
      <w:r>
        <w:rPr>
          <w:rFonts w:ascii="Arial" w:eastAsia="Times New Roman" w:hAnsi="Arial" w:cs="Arial"/>
          <w:color w:val="022A4C"/>
          <w:sz w:val="18"/>
          <w:szCs w:val="18"/>
        </w:rPr>
        <w:t>Montreal, Quebec</w:t>
      </w:r>
    </w:p>
    <w:p w14:paraId="0AADF74F" w14:textId="77777777" w:rsidR="005B2012" w:rsidRDefault="005B2012">
      <w:pPr>
        <w:jc w:val="center"/>
        <w:textAlignment w:val="center"/>
        <w:divId w:val="161743380"/>
        <w:rPr>
          <w:rFonts w:ascii="Arial" w:eastAsia="Times New Roman" w:hAnsi="Arial" w:cs="Arial"/>
          <w:color w:val="022A4C"/>
          <w:sz w:val="18"/>
          <w:szCs w:val="18"/>
        </w:rPr>
      </w:pPr>
      <w:r>
        <w:rPr>
          <w:rFonts w:ascii="Arial" w:eastAsia="Times New Roman" w:hAnsi="Arial" w:cs="Arial"/>
          <w:color w:val="022A4C"/>
          <w:sz w:val="18"/>
          <w:szCs w:val="18"/>
        </w:rPr>
        <w:t>CANADA H4Z 1M1</w:t>
      </w:r>
    </w:p>
    <w:p w14:paraId="4EF54C5E" w14:textId="77777777" w:rsidR="005B2012" w:rsidRDefault="005B2012">
      <w:pPr>
        <w:divId w:val="1022704794"/>
        <w:rPr>
          <w:rFonts w:ascii="Arial" w:eastAsia="Times New Roman" w:hAnsi="Arial" w:cs="Arial"/>
          <w:color w:val="022A4C"/>
          <w:sz w:val="18"/>
          <w:szCs w:val="18"/>
        </w:rPr>
      </w:pPr>
      <w:r>
        <w:rPr>
          <w:rStyle w:val="iatatitle1"/>
          <w:rFonts w:ascii="Arial" w:eastAsia="Times New Roman" w:hAnsi="Arial" w:cs="Arial"/>
          <w:color w:val="022A4C"/>
          <w:sz w:val="18"/>
          <w:szCs w:val="18"/>
          <w:specVanish w:val="0"/>
        </w:rPr>
        <w:t>IOSA Checklist</w:t>
      </w:r>
      <w:r>
        <w:rPr>
          <w:rFonts w:ascii="Arial" w:eastAsia="Times New Roman" w:hAnsi="Arial" w:cs="Arial"/>
          <w:color w:val="022A4C"/>
          <w:sz w:val="18"/>
          <w:szCs w:val="18"/>
        </w:rPr>
        <w:br/>
      </w:r>
      <w:r>
        <w:rPr>
          <w:rStyle w:val="iatacatalog1"/>
          <w:rFonts w:ascii="Arial" w:eastAsia="Times New Roman" w:hAnsi="Arial" w:cs="Arial"/>
          <w:color w:val="022A4C"/>
          <w:sz w:val="18"/>
          <w:szCs w:val="18"/>
          <w:specVanish w:val="0"/>
        </w:rPr>
        <w:t>ISM Edition 16 Rev 3</w:t>
      </w:r>
    </w:p>
    <w:p w14:paraId="337F949B" w14:textId="77777777" w:rsidR="005B2012" w:rsidRDefault="005B2012">
      <w:pPr>
        <w:divId w:val="391579550"/>
        <w:rPr>
          <w:rFonts w:ascii="Arial" w:eastAsia="Times New Roman" w:hAnsi="Arial" w:cs="Arial"/>
          <w:color w:val="022A4C"/>
          <w:sz w:val="18"/>
          <w:szCs w:val="18"/>
        </w:rPr>
      </w:pPr>
      <w:r>
        <w:rPr>
          <w:rStyle w:val="iatadate1"/>
          <w:rFonts w:ascii="Arial" w:eastAsia="Times New Roman" w:hAnsi="Arial" w:cs="Arial"/>
          <w:color w:val="022A4C"/>
          <w:sz w:val="18"/>
          <w:szCs w:val="18"/>
          <w:specVanish w:val="0"/>
        </w:rPr>
        <w:t xml:space="preserve">© 2022 </w:t>
      </w:r>
      <w:r>
        <w:rPr>
          <w:rStyle w:val="iatacopyrightedbyname"/>
          <w:rFonts w:ascii="Arial" w:eastAsia="Times New Roman" w:hAnsi="Arial" w:cs="Arial"/>
          <w:color w:val="022A4C"/>
          <w:sz w:val="18"/>
          <w:szCs w:val="18"/>
        </w:rPr>
        <w:t xml:space="preserve">International Air Transport Association. </w:t>
      </w:r>
      <w:r>
        <w:rPr>
          <w:rStyle w:val="iatapublishersrights"/>
          <w:rFonts w:ascii="Arial" w:eastAsia="Times New Roman" w:hAnsi="Arial" w:cs="Arial"/>
          <w:color w:val="022A4C"/>
          <w:sz w:val="18"/>
          <w:szCs w:val="18"/>
        </w:rPr>
        <w:t>All rights reserved.</w:t>
      </w:r>
    </w:p>
    <w:p w14:paraId="4074CBB6" w14:textId="77777777" w:rsidR="005B2012" w:rsidRDefault="005B2012">
      <w:pPr>
        <w:divId w:val="1022704794"/>
        <w:rPr>
          <w:rFonts w:ascii="Arial" w:eastAsia="Times New Roman" w:hAnsi="Arial" w:cs="Arial"/>
          <w:color w:val="022A4C"/>
          <w:sz w:val="18"/>
          <w:szCs w:val="18"/>
        </w:rPr>
      </w:pPr>
      <w:r>
        <w:rPr>
          <w:rStyle w:val="iatapublisherlocation"/>
          <w:rFonts w:ascii="Arial" w:eastAsia="Times New Roman" w:hAnsi="Arial" w:cs="Arial"/>
          <w:color w:val="022A4C"/>
          <w:sz w:val="18"/>
          <w:szCs w:val="18"/>
        </w:rPr>
        <w:t>Montreal—Geneva</w:t>
      </w:r>
    </w:p>
    <w:p w14:paraId="5BB7D0F1" w14:textId="77777777" w:rsidR="005B2012" w:rsidRDefault="005B2012">
      <w:pPr>
        <w:rPr>
          <w:rFonts w:ascii="Arial" w:eastAsia="Times New Roman" w:hAnsi="Arial" w:cs="Arial"/>
          <w:color w:val="022A4C"/>
          <w:sz w:val="18"/>
          <w:szCs w:val="18"/>
        </w:rPr>
      </w:pPr>
      <w:r>
        <w:rPr>
          <w:rFonts w:ascii="Arial" w:eastAsia="Times New Roman" w:hAnsi="Arial" w:cs="Arial"/>
          <w:color w:val="022A4C"/>
          <w:sz w:val="18"/>
          <w:szCs w:val="18"/>
        </w:rPr>
        <w:br w:type="page"/>
      </w:r>
    </w:p>
    <w:p w14:paraId="35D7A6DC" w14:textId="77777777" w:rsidR="005B2012" w:rsidRDefault="005B2012">
      <w:pPr>
        <w:rPr>
          <w:rFonts w:ascii="Arial" w:eastAsia="Times New Roman" w:hAnsi="Arial" w:cs="Arial"/>
          <w:color w:val="022A4C"/>
          <w:sz w:val="18"/>
          <w:szCs w:val="18"/>
        </w:rPr>
      </w:pPr>
    </w:p>
    <w:p w14:paraId="2D2922AF" w14:textId="77777777" w:rsidR="005B2012" w:rsidRDefault="005B2012">
      <w:pPr>
        <w:pStyle w:val="NormalWeb"/>
        <w:rPr>
          <w:rFonts w:ascii="Arial" w:hAnsi="Arial" w:cs="Arial"/>
          <w:color w:val="022A4C"/>
          <w:sz w:val="18"/>
          <w:szCs w:val="18"/>
        </w:rPr>
      </w:pPr>
      <w:r>
        <w:rPr>
          <w:rFonts w:ascii="Arial" w:hAnsi="Arial" w:cs="Arial"/>
          <w:color w:val="022A4C"/>
          <w:sz w:val="18"/>
          <w:szCs w:val="18"/>
        </w:rPr>
        <w:t> </w:t>
      </w:r>
    </w:p>
    <w:p w14:paraId="1E246878" w14:textId="77777777" w:rsidR="005B2012" w:rsidRDefault="005B2012" w:rsidP="005B2012">
      <w:pPr>
        <w:pStyle w:val="Heading1"/>
        <w:shd w:val="clear" w:color="auto" w:fill="CCCCCC"/>
        <w:spacing w:before="0" w:beforeAutospacing="0" w:after="0" w:afterAutospacing="0"/>
        <w:ind w:left="-108" w:right="-101"/>
        <w:rPr>
          <w:rFonts w:ascii="Arial" w:eastAsia="Times New Roman" w:hAnsi="Arial" w:cs="Arial"/>
          <w:color w:val="000000"/>
          <w:sz w:val="29"/>
          <w:szCs w:val="29"/>
        </w:rPr>
      </w:pPr>
      <w:r>
        <w:rPr>
          <w:rFonts w:ascii="Arial" w:eastAsia="Times New Roman" w:hAnsi="Arial" w:cs="Arial"/>
          <w:color w:val="000000"/>
          <w:sz w:val="29"/>
          <w:szCs w:val="29"/>
        </w:rPr>
        <w:t>ISM Sixteenth Edition</w:t>
      </w:r>
    </w:p>
    <w:tbl>
      <w:tblPr>
        <w:tblStyle w:val="TableGrid"/>
        <w:tblW w:w="0" w:type="auto"/>
        <w:tblLook w:val="04A0" w:firstRow="1" w:lastRow="0" w:firstColumn="1" w:lastColumn="0" w:noHBand="0" w:noVBand="1"/>
      </w:tblPr>
      <w:tblGrid>
        <w:gridCol w:w="222"/>
      </w:tblGrid>
      <w:tr w:rsidR="00510EE8" w14:paraId="2B246A51" w14:textId="77777777" w:rsidTr="005B2012">
        <w:tc>
          <w:tcPr>
            <w:tcW w:w="0" w:type="auto"/>
            <w:hideMark/>
          </w:tcPr>
          <w:p w14:paraId="75C895B6" w14:textId="77777777" w:rsidR="005B2012" w:rsidRDefault="005B2012">
            <w:pPr>
              <w:rPr>
                <w:rFonts w:ascii="Arial" w:eastAsia="Times New Roman" w:hAnsi="Arial" w:cs="Arial"/>
                <w:color w:val="000000"/>
                <w:sz w:val="29"/>
                <w:szCs w:val="29"/>
              </w:rPr>
            </w:pPr>
          </w:p>
        </w:tc>
      </w:tr>
    </w:tbl>
    <w:p w14:paraId="2F0F815D" w14:textId="77777777" w:rsidR="005B2012" w:rsidRDefault="005B2012">
      <w:pPr>
        <w:rPr>
          <w:rFonts w:eastAsia="Times New Roman"/>
        </w:rPr>
      </w:pPr>
    </w:p>
    <w:sectPr w:rsidR="005B2012">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3694FC" w14:textId="77777777" w:rsidR="000367E8" w:rsidRDefault="000367E8" w:rsidP="005B2012">
      <w:r>
        <w:separator/>
      </w:r>
    </w:p>
  </w:endnote>
  <w:endnote w:type="continuationSeparator" w:id="0">
    <w:p w14:paraId="5A3EEEED" w14:textId="77777777" w:rsidR="000367E8" w:rsidRDefault="000367E8" w:rsidP="005B2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IATA Unicode Based">
    <w:altName w:val="Calibr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IATAfont">
    <w:charset w:val="00"/>
    <w:family w:val="auto"/>
    <w:pitch w:val="variable"/>
    <w:sig w:usb0="00000003" w:usb1="00000000" w:usb2="00000000" w:usb3="00000000" w:csb0="00000001" w:csb1="00000000"/>
    <w:embedRegular r:id="rId1" w:subsetted="1" w:fontKey="{387A6FAB-3653-4152-BA85-9AD91A5D1F95}"/>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CD987" w14:textId="77777777" w:rsidR="005B2012" w:rsidRDefault="00000000" w:rsidP="005B2012">
    <w:pPr>
      <w:pStyle w:val="Footer"/>
      <w:spacing w:line="276" w:lineRule="auto"/>
      <w:rPr>
        <w:rFonts w:ascii="Arial" w:hAnsi="Arial" w:cs="Arial"/>
        <w:sz w:val="20"/>
      </w:rPr>
    </w:pPr>
    <w:r>
      <w:rPr>
        <w:rFonts w:ascii="Arial" w:hAnsi="Arial" w:cs="Arial"/>
        <w:sz w:val="20"/>
      </w:rPr>
      <w:pict w14:anchorId="4344FF0C">
        <v:rect id="_x0000_i1026" style="width:0;height:1.5pt" o:hralign="center" o:hrstd="t" o:hr="t" fillcolor="#a0a0a0" stroked="f"/>
      </w:pict>
    </w:r>
  </w:p>
  <w:p w14:paraId="25C1E6E3" w14:textId="7EF86461" w:rsidR="005B2012" w:rsidRDefault="005B2012" w:rsidP="005B2012">
    <w:pPr>
      <w:pStyle w:val="Footer"/>
      <w:spacing w:line="276" w:lineRule="auto"/>
      <w:rPr>
        <w:rFonts w:ascii="Arial" w:hAnsi="Arial" w:cs="Arial"/>
        <w:sz w:val="20"/>
      </w:rPr>
    </w:pPr>
    <w:r>
      <w:rPr>
        <w:rFonts w:ascii="Arial" w:hAnsi="Arial" w:cs="Arial"/>
        <w:sz w:val="20"/>
      </w:rPr>
      <w:t>Reference: DOC.F34</w:t>
    </w:r>
    <w:r>
      <w:rPr>
        <w:rFonts w:ascii="Arial" w:hAnsi="Arial" w:cs="Arial"/>
        <w:sz w:val="20"/>
      </w:rPr>
      <w:tab/>
    </w:r>
    <w:r>
      <w:rPr>
        <w:rFonts w:ascii="Arial" w:hAnsi="Arial" w:cs="Arial"/>
        <w:sz w:val="20"/>
      </w:rPr>
      <w:fldChar w:fldCharType="begin"/>
    </w:r>
    <w:r>
      <w:rPr>
        <w:rFonts w:ascii="Arial" w:hAnsi="Arial" w:cs="Arial"/>
        <w:sz w:val="20"/>
      </w:rPr>
      <w:instrText xml:space="preserve"> PAGE  \* Arabic  </w:instrText>
    </w:r>
    <w:r>
      <w:rPr>
        <w:rFonts w:ascii="Arial" w:hAnsi="Arial" w:cs="Arial"/>
        <w:sz w:val="20"/>
      </w:rPr>
      <w:fldChar w:fldCharType="separate"/>
    </w:r>
    <w:r>
      <w:rPr>
        <w:rFonts w:ascii="Arial" w:hAnsi="Arial" w:cs="Arial"/>
        <w:noProof/>
        <w:sz w:val="20"/>
      </w:rPr>
      <w:t>2</w:t>
    </w:r>
    <w:r>
      <w:rPr>
        <w:rFonts w:ascii="Arial" w:hAnsi="Arial" w:cs="Arial"/>
        <w:sz w:val="20"/>
      </w:rPr>
      <w:fldChar w:fldCharType="end"/>
    </w:r>
    <w:r>
      <w:rPr>
        <w:rFonts w:ascii="Arial" w:hAnsi="Arial" w:cs="Arial"/>
        <w:sz w:val="20"/>
      </w:rPr>
      <w:t xml:space="preserve"> of </w:t>
    </w:r>
    <w:r>
      <w:rPr>
        <w:rFonts w:ascii="Arial" w:hAnsi="Arial" w:cs="Arial"/>
        <w:sz w:val="20"/>
      </w:rPr>
      <w:fldChar w:fldCharType="begin"/>
    </w:r>
    <w:r>
      <w:rPr>
        <w:rFonts w:ascii="Arial" w:hAnsi="Arial" w:cs="Arial"/>
        <w:sz w:val="20"/>
      </w:rPr>
      <w:instrText xml:space="preserve"> NUMPAGES  \* Arabic  </w:instrText>
    </w:r>
    <w:r>
      <w:rPr>
        <w:rFonts w:ascii="Arial" w:hAnsi="Arial" w:cs="Arial"/>
        <w:sz w:val="20"/>
      </w:rPr>
      <w:fldChar w:fldCharType="separate"/>
    </w:r>
    <w:r>
      <w:rPr>
        <w:rFonts w:ascii="Arial" w:hAnsi="Arial" w:cs="Arial"/>
        <w:noProof/>
        <w:sz w:val="20"/>
      </w:rPr>
      <w:t>2</w:t>
    </w:r>
    <w:r>
      <w:rPr>
        <w:rFonts w:ascii="Arial" w:hAnsi="Arial" w:cs="Arial"/>
        <w:sz w:val="20"/>
      </w:rPr>
      <w:fldChar w:fldCharType="end"/>
    </w:r>
    <w:r>
      <w:rPr>
        <w:rFonts w:ascii="Arial" w:hAnsi="Arial" w:cs="Arial"/>
        <w:sz w:val="20"/>
      </w:rPr>
      <w:tab/>
      <w:t>Issue date:</w:t>
    </w:r>
    <w:r w:rsidR="00A04047">
      <w:rPr>
        <w:rFonts w:ascii="Arial" w:hAnsi="Arial" w:cs="Arial"/>
        <w:sz w:val="20"/>
      </w:rPr>
      <w:t>19 APR</w:t>
    </w:r>
    <w:r>
      <w:rPr>
        <w:rFonts w:ascii="Arial" w:hAnsi="Arial" w:cs="Arial"/>
        <w:sz w:val="20"/>
      </w:rPr>
      <w:t xml:space="preserve"> 2024</w:t>
    </w:r>
  </w:p>
  <w:p w14:paraId="1AC359F3" w14:textId="063A9400" w:rsidR="005B2012" w:rsidRPr="005B2012" w:rsidRDefault="005B2012" w:rsidP="005B2012">
    <w:pPr>
      <w:pStyle w:val="Footer"/>
      <w:spacing w:line="276" w:lineRule="auto"/>
      <w:rPr>
        <w:rFonts w:ascii="Arial" w:hAnsi="Arial" w:cs="Arial"/>
        <w:sz w:val="20"/>
      </w:rPr>
    </w:pPr>
    <w:r>
      <w:rPr>
        <w:rFonts w:ascii="Arial" w:hAnsi="Arial" w:cs="Arial"/>
        <w:sz w:val="20"/>
      </w:rPr>
      <w:tab/>
    </w:r>
    <w:r>
      <w:rPr>
        <w:rFonts w:ascii="Arial" w:hAnsi="Arial" w:cs="Arial"/>
        <w:sz w:val="20"/>
      </w:rPr>
      <w:tab/>
      <w:t xml:space="preserve">Effective date: </w:t>
    </w:r>
    <w:r w:rsidR="004C78C1">
      <w:rPr>
        <w:rFonts w:ascii="Arial" w:hAnsi="Arial" w:cs="Arial"/>
        <w:sz w:val="20"/>
      </w:rPr>
      <w:t xml:space="preserve">15 </w:t>
    </w:r>
    <w:r>
      <w:rPr>
        <w:rFonts w:ascii="Arial" w:hAnsi="Arial" w:cs="Arial"/>
        <w:sz w:val="20"/>
      </w:rPr>
      <w:t>May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BBF96" w14:textId="77777777" w:rsidR="000367E8" w:rsidRDefault="000367E8" w:rsidP="005B2012">
      <w:r>
        <w:separator/>
      </w:r>
    </w:p>
  </w:footnote>
  <w:footnote w:type="continuationSeparator" w:id="0">
    <w:p w14:paraId="57C499CB" w14:textId="77777777" w:rsidR="000367E8" w:rsidRDefault="000367E8" w:rsidP="005B20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82CA2" w14:textId="77777777" w:rsidR="005B2012" w:rsidRDefault="005B2012" w:rsidP="005B2012">
    <w:pPr>
      <w:pStyle w:val="Header"/>
      <w:rPr>
        <w:rFonts w:ascii="Arial" w:hAnsi="Arial" w:cs="Arial"/>
        <w:sz w:val="20"/>
      </w:rPr>
    </w:pPr>
    <w:r>
      <w:rPr>
        <w:rFonts w:ascii="IATAfont" w:hAnsi="IATAfont" w:cs="Arial"/>
        <w:sz w:val="80"/>
      </w:rPr>
      <w:t>✈</w:t>
    </w:r>
    <w:r>
      <w:rPr>
        <w:rFonts w:ascii="IATA Unicode Based" w:hAnsi="IATA Unicode Based" w:cs="Arial"/>
        <w:sz w:val="80"/>
      </w:rPr>
      <w:tab/>
    </w:r>
    <w:r>
      <w:rPr>
        <w:rFonts w:ascii="IATA Unicode Based" w:hAnsi="IATA Unicode Based" w:cs="Arial"/>
        <w:sz w:val="80"/>
      </w:rPr>
      <w:tab/>
    </w:r>
    <w:r>
      <w:rPr>
        <w:rFonts w:ascii="Arial" w:hAnsi="Arial" w:cs="Arial"/>
        <w:b/>
        <w:sz w:val="28"/>
      </w:rPr>
      <w:t>IOSA Checklist</w:t>
    </w:r>
  </w:p>
  <w:p w14:paraId="3C451712" w14:textId="77723C9F" w:rsidR="005B2012" w:rsidRDefault="005B2012" w:rsidP="005B2012">
    <w:pPr>
      <w:pStyle w:val="Header"/>
      <w:rPr>
        <w:rFonts w:ascii="Arial" w:hAnsi="Arial" w:cs="Arial"/>
        <w:sz w:val="20"/>
      </w:rPr>
    </w:pPr>
    <w:r>
      <w:rPr>
        <w:rFonts w:ascii="Arial" w:hAnsi="Arial" w:cs="Arial"/>
        <w:sz w:val="20"/>
      </w:rPr>
      <w:tab/>
    </w:r>
    <w:r>
      <w:rPr>
        <w:rFonts w:ascii="Arial" w:hAnsi="Arial" w:cs="Arial"/>
        <w:sz w:val="20"/>
      </w:rPr>
      <w:tab/>
      <w:t xml:space="preserve">ISM Edition 16Rev3 </w:t>
    </w:r>
    <w:r w:rsidR="004C78C1">
      <w:rPr>
        <w:rFonts w:ascii="Arial" w:hAnsi="Arial" w:cs="Arial"/>
        <w:sz w:val="20"/>
      </w:rPr>
      <w:t>–</w:t>
    </w:r>
    <w:r>
      <w:rPr>
        <w:rFonts w:ascii="Arial" w:hAnsi="Arial" w:cs="Arial"/>
        <w:sz w:val="20"/>
      </w:rPr>
      <w:t xml:space="preserve"> effective</w:t>
    </w:r>
    <w:r w:rsidR="004C78C1">
      <w:rPr>
        <w:rFonts w:ascii="Arial" w:hAnsi="Arial" w:cs="Arial"/>
        <w:sz w:val="20"/>
      </w:rPr>
      <w:t xml:space="preserve"> 15</w:t>
    </w:r>
    <w:r>
      <w:rPr>
        <w:rFonts w:ascii="Arial" w:hAnsi="Arial" w:cs="Arial"/>
        <w:sz w:val="20"/>
      </w:rPr>
      <w:t xml:space="preserve"> May 2024</w:t>
    </w:r>
  </w:p>
  <w:p w14:paraId="4192EDAC" w14:textId="77777777" w:rsidR="005B2012" w:rsidRDefault="00000000" w:rsidP="005B2012">
    <w:pPr>
      <w:pStyle w:val="Header"/>
      <w:rPr>
        <w:rFonts w:ascii="Arial" w:hAnsi="Arial" w:cs="Arial"/>
        <w:sz w:val="20"/>
      </w:rPr>
    </w:pPr>
    <w:r>
      <w:rPr>
        <w:rFonts w:ascii="Arial" w:hAnsi="Arial" w:cs="Arial"/>
        <w:sz w:val="20"/>
      </w:rPr>
      <w:pict w14:anchorId="4CDC8772">
        <v:rect id="_x0000_i1025" style="width:0;height:1.5pt" o:hralign="center" o:hrstd="t" o:hr="t" fillcolor="#a0a0a0" stroked="f"/>
      </w:pict>
    </w:r>
  </w:p>
  <w:p w14:paraId="3CB4BB0C" w14:textId="77777777" w:rsidR="005B2012" w:rsidRPr="005B2012" w:rsidRDefault="005B2012" w:rsidP="005B2012">
    <w:pPr>
      <w:pStyle w:val="Header"/>
      <w:rPr>
        <w:rFonts w:ascii="Arial" w:hAnsi="Arial" w:cs="Arial"/>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saveSubsetFonts/>
  <w:proofState w:spelling="clean" w:grammar="clean"/>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4"/>
    <w:compatSetting w:name="differentiateMultirowTableHeaders" w:uri="http://schemas.microsoft.com/office/word" w:val="1"/>
    <w:compatSetting w:name="useWord2013TrackBottomHyphenation" w:uri="http://schemas.microsoft.com/office/word" w:val="0"/>
  </w:compat>
  <w:rsids>
    <w:rsidRoot w:val="005B2012"/>
    <w:rsid w:val="000367E8"/>
    <w:rsid w:val="000A6D98"/>
    <w:rsid w:val="004C78C1"/>
    <w:rsid w:val="00510EE8"/>
    <w:rsid w:val="005B2012"/>
    <w:rsid w:val="00A040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D87FEA"/>
  <w15:chartTrackingRefBased/>
  <w15:docId w15:val="{0DFAC415-4047-4E22-8316-4CEF8089F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Pr>
      <w:strike w:val="0"/>
      <w:dstrike w:val="0"/>
      <w:color w:val="3899E5"/>
      <w:u w:val="none"/>
      <w:effect w:val="none"/>
    </w:rPr>
  </w:style>
  <w:style w:type="character" w:styleId="FollowedHyperlink">
    <w:name w:val="FollowedHyperlink"/>
    <w:basedOn w:val="DefaultParagraphFont"/>
    <w:uiPriority w:val="99"/>
    <w:semiHidden/>
    <w:unhideWhenUsed/>
    <w:rPr>
      <w:strike w:val="0"/>
      <w:dstrike w:val="0"/>
      <w:color w:val="3899E5"/>
      <w:u w:val="none"/>
      <w:effect w:val="none"/>
    </w:rPr>
  </w:style>
  <w:style w:type="paragraph" w:customStyle="1" w:styleId="msonormal0">
    <w:name w:val="msonormal"/>
    <w:basedOn w:val="Normal"/>
    <w:pPr>
      <w:spacing w:before="100" w:beforeAutospacing="1" w:after="100" w:afterAutospacing="1"/>
    </w:pPr>
  </w:style>
  <w:style w:type="paragraph" w:customStyle="1" w:styleId="iatachapterheading">
    <w:name w:val="iatachapterheading"/>
    <w:basedOn w:val="Normal"/>
    <w:pPr>
      <w:spacing w:before="100" w:beforeAutospacing="1" w:after="100" w:afterAutospacing="1"/>
    </w:pPr>
    <w:rPr>
      <w:sz w:val="42"/>
      <w:szCs w:val="42"/>
    </w:rPr>
  </w:style>
  <w:style w:type="paragraph" w:customStyle="1" w:styleId="iatah1">
    <w:name w:val="iatah1"/>
    <w:basedOn w:val="Normal"/>
    <w:pPr>
      <w:spacing w:before="100" w:beforeAutospacing="1" w:after="100" w:afterAutospacing="1"/>
    </w:pPr>
    <w:rPr>
      <w:sz w:val="35"/>
      <w:szCs w:val="35"/>
    </w:rPr>
  </w:style>
  <w:style w:type="paragraph" w:customStyle="1" w:styleId="iatah2">
    <w:name w:val="iatah2"/>
    <w:basedOn w:val="Normal"/>
    <w:pPr>
      <w:spacing w:before="100" w:beforeAutospacing="1" w:after="100" w:afterAutospacing="1"/>
    </w:pPr>
    <w:rPr>
      <w:sz w:val="33"/>
      <w:szCs w:val="33"/>
    </w:rPr>
  </w:style>
  <w:style w:type="paragraph" w:customStyle="1" w:styleId="iatah3">
    <w:name w:val="iatah3"/>
    <w:basedOn w:val="Normal"/>
    <w:pPr>
      <w:spacing w:before="100" w:beforeAutospacing="1" w:after="100" w:afterAutospacing="1"/>
    </w:pPr>
    <w:rPr>
      <w:sz w:val="31"/>
      <w:szCs w:val="31"/>
    </w:rPr>
  </w:style>
  <w:style w:type="paragraph" w:customStyle="1" w:styleId="iatah4">
    <w:name w:val="iatah4"/>
    <w:basedOn w:val="Normal"/>
    <w:pPr>
      <w:spacing w:before="100" w:beforeAutospacing="1" w:after="100" w:afterAutospacing="1"/>
    </w:pPr>
    <w:rPr>
      <w:sz w:val="29"/>
      <w:szCs w:val="29"/>
    </w:rPr>
  </w:style>
  <w:style w:type="paragraph" w:customStyle="1" w:styleId="iatah5">
    <w:name w:val="iatah5"/>
    <w:basedOn w:val="Normal"/>
    <w:pPr>
      <w:spacing w:before="100" w:beforeAutospacing="1" w:after="100" w:afterAutospacing="1"/>
    </w:pPr>
    <w:rPr>
      <w:sz w:val="27"/>
      <w:szCs w:val="27"/>
    </w:rPr>
  </w:style>
  <w:style w:type="paragraph" w:customStyle="1" w:styleId="iatah6">
    <w:name w:val="iatah6"/>
    <w:basedOn w:val="Normal"/>
    <w:pPr>
      <w:spacing w:before="100" w:beforeAutospacing="1" w:after="100" w:afterAutospacing="1"/>
    </w:pPr>
    <w:rPr>
      <w:sz w:val="25"/>
      <w:szCs w:val="25"/>
    </w:rPr>
  </w:style>
  <w:style w:type="paragraph" w:customStyle="1" w:styleId="iatah7">
    <w:name w:val="iatah7"/>
    <w:basedOn w:val="Normal"/>
    <w:pPr>
      <w:spacing w:before="100" w:beforeAutospacing="1" w:after="100" w:afterAutospacing="1"/>
    </w:pPr>
    <w:rPr>
      <w:b/>
      <w:bCs/>
      <w:sz w:val="25"/>
      <w:szCs w:val="25"/>
    </w:rPr>
  </w:style>
  <w:style w:type="paragraph" w:customStyle="1" w:styleId="iatah8">
    <w:name w:val="iatah8"/>
    <w:basedOn w:val="Normal"/>
    <w:pPr>
      <w:spacing w:before="100" w:beforeAutospacing="1" w:after="100" w:afterAutospacing="1"/>
    </w:pPr>
    <w:rPr>
      <w:b/>
      <w:bCs/>
    </w:rPr>
  </w:style>
  <w:style w:type="paragraph" w:customStyle="1" w:styleId="iatabody">
    <w:name w:val="iatabody"/>
    <w:basedOn w:val="Normal"/>
    <w:rPr>
      <w:rFonts w:ascii="Arial" w:hAnsi="Arial" w:cs="Arial"/>
      <w:color w:val="022A4C"/>
      <w:sz w:val="18"/>
      <w:szCs w:val="18"/>
    </w:rPr>
  </w:style>
  <w:style w:type="paragraph" w:customStyle="1" w:styleId="iatanoneffective">
    <w:name w:val="iatanoneffective"/>
    <w:basedOn w:val="Normal"/>
    <w:pPr>
      <w:shd w:val="clear" w:color="auto" w:fill="B0B0B0"/>
      <w:spacing w:before="100" w:beforeAutospacing="1" w:after="100" w:afterAutospacing="1"/>
    </w:pPr>
  </w:style>
  <w:style w:type="paragraph" w:customStyle="1" w:styleId="iatafont">
    <w:name w:val="iatafont"/>
    <w:basedOn w:val="Normal"/>
    <w:pPr>
      <w:spacing w:before="100" w:beforeAutospacing="1" w:after="100" w:afterAutospacing="1"/>
    </w:pPr>
    <w:rPr>
      <w:rFonts w:ascii="IATA Unicode Based" w:hAnsi="IATA Unicode Based"/>
    </w:rPr>
  </w:style>
  <w:style w:type="paragraph" w:customStyle="1" w:styleId="iatasidemarks">
    <w:name w:val="iatasidemarks"/>
    <w:basedOn w:val="Normal"/>
    <w:pPr>
      <w:spacing w:before="100" w:beforeAutospacing="1" w:after="100" w:afterAutospacing="1"/>
    </w:pPr>
    <w:rPr>
      <w:rFonts w:ascii="IATA Unicode Based" w:hAnsi="IATA Unicode Based"/>
    </w:rPr>
  </w:style>
  <w:style w:type="paragraph" w:customStyle="1" w:styleId="iataspanhide">
    <w:name w:val="iataspanhide"/>
    <w:basedOn w:val="Normal"/>
    <w:pPr>
      <w:spacing w:before="100" w:beforeAutospacing="1" w:after="100" w:afterAutospacing="1"/>
    </w:pPr>
    <w:rPr>
      <w:vanish/>
    </w:rPr>
  </w:style>
  <w:style w:type="paragraph" w:customStyle="1" w:styleId="iatabgcolorsgreen">
    <w:name w:val="iatabgcolorsgreen"/>
    <w:basedOn w:val="Normal"/>
    <w:pPr>
      <w:shd w:val="clear" w:color="auto" w:fill="62B31A"/>
      <w:spacing w:before="100" w:beforeAutospacing="1" w:after="100" w:afterAutospacing="1"/>
    </w:pPr>
  </w:style>
  <w:style w:type="paragraph" w:customStyle="1" w:styleId="iatabgcolorsgreenlight">
    <w:name w:val="iatabgcolorsgreenlight"/>
    <w:basedOn w:val="Normal"/>
    <w:pPr>
      <w:shd w:val="clear" w:color="auto" w:fill="BDCF1B"/>
      <w:spacing w:before="100" w:beforeAutospacing="1" w:after="100" w:afterAutospacing="1"/>
    </w:pPr>
  </w:style>
  <w:style w:type="paragraph" w:customStyle="1" w:styleId="iatabgcolorsyellow">
    <w:name w:val="iatabgcolorsyellow"/>
    <w:basedOn w:val="Normal"/>
    <w:pPr>
      <w:shd w:val="clear" w:color="auto" w:fill="FFDB00"/>
      <w:spacing w:before="100" w:beforeAutospacing="1" w:after="100" w:afterAutospacing="1"/>
    </w:pPr>
  </w:style>
  <w:style w:type="paragraph" w:customStyle="1" w:styleId="iatabgcolorsorange">
    <w:name w:val="iatabgcolorsorange"/>
    <w:basedOn w:val="Normal"/>
    <w:pPr>
      <w:shd w:val="clear" w:color="auto" w:fill="F29300"/>
      <w:spacing w:before="100" w:beforeAutospacing="1" w:after="100" w:afterAutospacing="1"/>
    </w:pPr>
  </w:style>
  <w:style w:type="paragraph" w:customStyle="1" w:styleId="iatabgcolorsred">
    <w:name w:val="iatabgcolorsred"/>
    <w:basedOn w:val="Normal"/>
    <w:pPr>
      <w:shd w:val="clear" w:color="auto" w:fill="EB3014"/>
      <w:spacing w:before="100" w:beforeAutospacing="1" w:after="100" w:afterAutospacing="1"/>
    </w:pPr>
  </w:style>
  <w:style w:type="paragraph" w:customStyle="1" w:styleId="iatabgcolorspink">
    <w:name w:val="iatabgcolorspink"/>
    <w:basedOn w:val="Normal"/>
    <w:pPr>
      <w:shd w:val="clear" w:color="auto" w:fill="E5176E"/>
      <w:spacing w:before="100" w:beforeAutospacing="1" w:after="100" w:afterAutospacing="1"/>
    </w:pPr>
  </w:style>
  <w:style w:type="paragraph" w:customStyle="1" w:styleId="iatabgcolorsmauve">
    <w:name w:val="iatabgcolorsmauve"/>
    <w:basedOn w:val="Normal"/>
    <w:pPr>
      <w:shd w:val="clear" w:color="auto" w:fill="5F3287"/>
      <w:spacing w:before="100" w:beforeAutospacing="1" w:after="100" w:afterAutospacing="1"/>
    </w:pPr>
  </w:style>
  <w:style w:type="paragraph" w:customStyle="1" w:styleId="iatabgcolorsblue9">
    <w:name w:val="iatabgcolorsblue9"/>
    <w:basedOn w:val="Normal"/>
    <w:pPr>
      <w:shd w:val="clear" w:color="auto" w:fill="00305B"/>
      <w:spacing w:before="100" w:beforeAutospacing="1" w:after="100" w:afterAutospacing="1"/>
    </w:pPr>
  </w:style>
  <w:style w:type="paragraph" w:customStyle="1" w:styleId="iatabgcolorsblue8">
    <w:name w:val="iatabgcolorsblue8"/>
    <w:basedOn w:val="Normal"/>
    <w:pPr>
      <w:shd w:val="clear" w:color="auto" w:fill="0A4279"/>
      <w:spacing w:before="100" w:beforeAutospacing="1" w:after="100" w:afterAutospacing="1"/>
    </w:pPr>
  </w:style>
  <w:style w:type="paragraph" w:customStyle="1" w:styleId="iatabgcolorsblue6">
    <w:name w:val="iatabgcolorsblue6"/>
    <w:basedOn w:val="Normal"/>
    <w:pPr>
      <w:shd w:val="clear" w:color="auto" w:fill="0075BD"/>
      <w:spacing w:before="100" w:beforeAutospacing="1" w:after="100" w:afterAutospacing="1"/>
    </w:pPr>
  </w:style>
  <w:style w:type="paragraph" w:customStyle="1" w:styleId="iatabgcolorsblue5">
    <w:name w:val="iatabgcolorsblue5"/>
    <w:basedOn w:val="Normal"/>
    <w:pPr>
      <w:shd w:val="clear" w:color="auto" w:fill="038FD7"/>
      <w:spacing w:before="100" w:beforeAutospacing="1" w:after="100" w:afterAutospacing="1"/>
    </w:pPr>
  </w:style>
  <w:style w:type="paragraph" w:customStyle="1" w:styleId="iatabgcolorsblue4">
    <w:name w:val="iatabgcolorsblue4"/>
    <w:basedOn w:val="Normal"/>
    <w:pPr>
      <w:shd w:val="clear" w:color="auto" w:fill="4EA9E3"/>
      <w:spacing w:before="100" w:beforeAutospacing="1" w:after="100" w:afterAutospacing="1"/>
    </w:pPr>
  </w:style>
  <w:style w:type="paragraph" w:customStyle="1" w:styleId="iatabgcolorsblue3">
    <w:name w:val="iatabgcolorsblue3"/>
    <w:basedOn w:val="Normal"/>
    <w:pPr>
      <w:shd w:val="clear" w:color="auto" w:fill="6BBBEA"/>
      <w:spacing w:before="100" w:beforeAutospacing="1" w:after="100" w:afterAutospacing="1"/>
    </w:pPr>
  </w:style>
  <w:style w:type="paragraph" w:customStyle="1" w:styleId="iatabgcolorsblue2">
    <w:name w:val="iatabgcolorsblue2"/>
    <w:basedOn w:val="Normal"/>
    <w:pPr>
      <w:shd w:val="clear" w:color="auto" w:fill="A6D7F5"/>
      <w:spacing w:before="100" w:beforeAutospacing="1" w:after="100" w:afterAutospacing="1"/>
    </w:pPr>
  </w:style>
  <w:style w:type="paragraph" w:customStyle="1" w:styleId="iatabgcolorsbgshadelight">
    <w:name w:val="iatabgcolorsbgshadelight"/>
    <w:basedOn w:val="Normal"/>
    <w:pPr>
      <w:shd w:val="clear" w:color="auto" w:fill="EFEFEF"/>
      <w:spacing w:before="100" w:beforeAutospacing="1" w:after="100" w:afterAutospacing="1"/>
    </w:pPr>
  </w:style>
  <w:style w:type="paragraph" w:customStyle="1" w:styleId="iatabgcolorsbgshademedium">
    <w:name w:val="iatabgcolorsbgshademedium"/>
    <w:basedOn w:val="Normal"/>
    <w:pPr>
      <w:shd w:val="clear" w:color="auto" w:fill="B0B0B0"/>
      <w:spacing w:before="100" w:beforeAutospacing="1" w:after="100" w:afterAutospacing="1"/>
    </w:pPr>
  </w:style>
  <w:style w:type="paragraph" w:customStyle="1" w:styleId="iatabgcolorsbgshadeheavy">
    <w:name w:val="iatabgcolorsbgshadeheavy"/>
    <w:basedOn w:val="Normal"/>
    <w:pPr>
      <w:shd w:val="clear" w:color="auto" w:fill="808080"/>
      <w:spacing w:before="100" w:beforeAutospacing="1" w:after="100" w:afterAutospacing="1"/>
    </w:pPr>
  </w:style>
  <w:style w:type="paragraph" w:customStyle="1" w:styleId="iatabgcolorspms394">
    <w:name w:val="iatabgcolorspms394"/>
    <w:basedOn w:val="Normal"/>
    <w:pPr>
      <w:shd w:val="clear" w:color="auto" w:fill="FEEB53"/>
      <w:spacing w:before="100" w:beforeAutospacing="1" w:after="100" w:afterAutospacing="1"/>
    </w:pPr>
  </w:style>
  <w:style w:type="paragraph" w:customStyle="1" w:styleId="iatabgcolorspms382">
    <w:name w:val="iatabgcolorspms382"/>
    <w:basedOn w:val="Normal"/>
    <w:pPr>
      <w:shd w:val="clear" w:color="auto" w:fill="A1BC00"/>
      <w:spacing w:before="100" w:beforeAutospacing="1" w:after="100" w:afterAutospacing="1"/>
    </w:pPr>
  </w:style>
  <w:style w:type="paragraph" w:customStyle="1" w:styleId="iatabgcolorspms116">
    <w:name w:val="iatabgcolorspms116"/>
    <w:basedOn w:val="Normal"/>
    <w:pPr>
      <w:shd w:val="clear" w:color="auto" w:fill="FFCC00"/>
      <w:spacing w:before="100" w:beforeAutospacing="1" w:after="100" w:afterAutospacing="1"/>
    </w:pPr>
  </w:style>
  <w:style w:type="paragraph" w:customStyle="1" w:styleId="iatabgcolorspms151">
    <w:name w:val="iatabgcolorspms151"/>
    <w:basedOn w:val="Normal"/>
    <w:pPr>
      <w:shd w:val="clear" w:color="auto" w:fill="F99911"/>
      <w:spacing w:before="100" w:beforeAutospacing="1" w:after="100" w:afterAutospacing="1"/>
    </w:pPr>
  </w:style>
  <w:style w:type="paragraph" w:customStyle="1" w:styleId="iatabgcolorspms199">
    <w:name w:val="iatabgcolorspms199"/>
    <w:basedOn w:val="Normal"/>
    <w:pPr>
      <w:shd w:val="clear" w:color="auto" w:fill="F00847"/>
      <w:spacing w:before="100" w:beforeAutospacing="1" w:after="100" w:afterAutospacing="1"/>
    </w:pPr>
  </w:style>
  <w:style w:type="paragraph" w:customStyle="1" w:styleId="iatabgcolorspms213">
    <w:name w:val="iatabgcolorspms213"/>
    <w:basedOn w:val="Normal"/>
    <w:pPr>
      <w:shd w:val="clear" w:color="auto" w:fill="EF2C71"/>
      <w:spacing w:before="100" w:beforeAutospacing="1" w:after="100" w:afterAutospacing="1"/>
    </w:pPr>
  </w:style>
  <w:style w:type="paragraph" w:customStyle="1" w:styleId="iatabgcolorspms2603">
    <w:name w:val="iatabgcolorspms2603"/>
    <w:basedOn w:val="Normal"/>
    <w:pPr>
      <w:shd w:val="clear" w:color="auto" w:fill="6F3594"/>
      <w:spacing w:before="100" w:beforeAutospacing="1" w:after="100" w:afterAutospacing="1"/>
    </w:pPr>
  </w:style>
  <w:style w:type="paragraph" w:customStyle="1" w:styleId="iatabgcolorspms54140pcblack">
    <w:name w:val="iatabgcolorspms541_40pcblack"/>
    <w:basedOn w:val="Normal"/>
    <w:pPr>
      <w:shd w:val="clear" w:color="auto" w:fill="00305B"/>
      <w:spacing w:before="100" w:beforeAutospacing="1" w:after="100" w:afterAutospacing="1"/>
    </w:pPr>
  </w:style>
  <w:style w:type="paragraph" w:customStyle="1" w:styleId="iatabgcolorspms541">
    <w:name w:val="iatabgcolorspms541"/>
    <w:basedOn w:val="Normal"/>
    <w:pPr>
      <w:shd w:val="clear" w:color="auto" w:fill="0A4279"/>
      <w:spacing w:before="100" w:beforeAutospacing="1" w:after="100" w:afterAutospacing="1"/>
    </w:pPr>
  </w:style>
  <w:style w:type="paragraph" w:customStyle="1" w:styleId="iatabgcolorspms300">
    <w:name w:val="iatabgcolorspms300"/>
    <w:basedOn w:val="Normal"/>
    <w:pPr>
      <w:shd w:val="clear" w:color="auto" w:fill="0075BD"/>
      <w:spacing w:before="100" w:beforeAutospacing="1" w:after="100" w:afterAutospacing="1"/>
    </w:pPr>
  </w:style>
  <w:style w:type="paragraph" w:customStyle="1" w:styleId="iatabgcolorspms300at80pc">
    <w:name w:val="iatabgcolorspms300_at80pc"/>
    <w:basedOn w:val="Normal"/>
    <w:pPr>
      <w:shd w:val="clear" w:color="auto" w:fill="038FD7"/>
      <w:spacing w:before="100" w:beforeAutospacing="1" w:after="100" w:afterAutospacing="1"/>
    </w:pPr>
  </w:style>
  <w:style w:type="paragraph" w:customStyle="1" w:styleId="iatabgcolorspms300at55pc">
    <w:name w:val="iatabgcolorspms300_at55pc"/>
    <w:basedOn w:val="Normal"/>
    <w:pPr>
      <w:shd w:val="clear" w:color="auto" w:fill="4EA9E3"/>
      <w:spacing w:before="100" w:beforeAutospacing="1" w:after="100" w:afterAutospacing="1"/>
    </w:pPr>
  </w:style>
  <w:style w:type="paragraph" w:customStyle="1" w:styleId="iatabgcolorspms300at25pc">
    <w:name w:val="iatabgcolorspms300_at25pc"/>
    <w:basedOn w:val="Normal"/>
    <w:pPr>
      <w:shd w:val="clear" w:color="auto" w:fill="6BBBEA"/>
      <w:spacing w:before="100" w:beforeAutospacing="1" w:after="100" w:afterAutospacing="1"/>
    </w:pPr>
  </w:style>
  <w:style w:type="paragraph" w:customStyle="1" w:styleId="iatabgcolorspms300at15pc">
    <w:name w:val="iatabgcolorspms300_at15pc"/>
    <w:basedOn w:val="Normal"/>
    <w:pPr>
      <w:shd w:val="clear" w:color="auto" w:fill="A6D7F5"/>
      <w:spacing w:before="100" w:beforeAutospacing="1" w:after="100" w:afterAutospacing="1"/>
    </w:pPr>
  </w:style>
  <w:style w:type="paragraph" w:customStyle="1" w:styleId="iatafgcolorsgreen">
    <w:name w:val="iatafgcolorsgreen"/>
    <w:basedOn w:val="Normal"/>
    <w:pPr>
      <w:spacing w:before="100" w:beforeAutospacing="1" w:after="100" w:afterAutospacing="1"/>
    </w:pPr>
    <w:rPr>
      <w:color w:val="62B31A"/>
    </w:rPr>
  </w:style>
  <w:style w:type="paragraph" w:customStyle="1" w:styleId="iatafgcolorsgreenlight">
    <w:name w:val="iatafgcolorsgreenlight"/>
    <w:basedOn w:val="Normal"/>
    <w:pPr>
      <w:spacing w:before="100" w:beforeAutospacing="1" w:after="100" w:afterAutospacing="1"/>
    </w:pPr>
    <w:rPr>
      <w:color w:val="BDCF1B"/>
    </w:rPr>
  </w:style>
  <w:style w:type="paragraph" w:customStyle="1" w:styleId="iatafgcolorsyellow">
    <w:name w:val="iatafgcolorsyellow"/>
    <w:basedOn w:val="Normal"/>
    <w:pPr>
      <w:spacing w:before="100" w:beforeAutospacing="1" w:after="100" w:afterAutospacing="1"/>
    </w:pPr>
    <w:rPr>
      <w:color w:val="FFDB00"/>
    </w:rPr>
  </w:style>
  <w:style w:type="paragraph" w:customStyle="1" w:styleId="iatafgcolorsorange">
    <w:name w:val="iatafgcolorsorange"/>
    <w:basedOn w:val="Normal"/>
    <w:pPr>
      <w:spacing w:before="100" w:beforeAutospacing="1" w:after="100" w:afterAutospacing="1"/>
    </w:pPr>
    <w:rPr>
      <w:color w:val="F29300"/>
    </w:rPr>
  </w:style>
  <w:style w:type="paragraph" w:customStyle="1" w:styleId="iatafgcolorsred">
    <w:name w:val="iatafgcolorsred"/>
    <w:basedOn w:val="Normal"/>
    <w:pPr>
      <w:spacing w:before="100" w:beforeAutospacing="1" w:after="100" w:afterAutospacing="1"/>
    </w:pPr>
    <w:rPr>
      <w:color w:val="EB3014"/>
    </w:rPr>
  </w:style>
  <w:style w:type="paragraph" w:customStyle="1" w:styleId="iatafgcolorspink">
    <w:name w:val="iatafgcolorspink"/>
    <w:basedOn w:val="Normal"/>
    <w:pPr>
      <w:spacing w:before="100" w:beforeAutospacing="1" w:after="100" w:afterAutospacing="1"/>
    </w:pPr>
    <w:rPr>
      <w:color w:val="E5176E"/>
    </w:rPr>
  </w:style>
  <w:style w:type="paragraph" w:customStyle="1" w:styleId="iatafgcolorsmauve">
    <w:name w:val="iatafgcolorsmauve"/>
    <w:basedOn w:val="Normal"/>
    <w:pPr>
      <w:spacing w:before="100" w:beforeAutospacing="1" w:after="100" w:afterAutospacing="1"/>
    </w:pPr>
    <w:rPr>
      <w:color w:val="5F3287"/>
    </w:rPr>
  </w:style>
  <w:style w:type="paragraph" w:customStyle="1" w:styleId="iatafgcolorsblue9">
    <w:name w:val="iatafgcolorsblue9"/>
    <w:basedOn w:val="Normal"/>
    <w:pPr>
      <w:spacing w:before="100" w:beforeAutospacing="1" w:after="100" w:afterAutospacing="1"/>
    </w:pPr>
    <w:rPr>
      <w:color w:val="00305B"/>
    </w:rPr>
  </w:style>
  <w:style w:type="paragraph" w:customStyle="1" w:styleId="iatafgcolorsblue8">
    <w:name w:val="iatafgcolorsblue8"/>
    <w:basedOn w:val="Normal"/>
    <w:pPr>
      <w:spacing w:before="100" w:beforeAutospacing="1" w:after="100" w:afterAutospacing="1"/>
    </w:pPr>
    <w:rPr>
      <w:color w:val="0A4279"/>
    </w:rPr>
  </w:style>
  <w:style w:type="paragraph" w:customStyle="1" w:styleId="iatafgcolorsblue6">
    <w:name w:val="iatafgcolorsblue6"/>
    <w:basedOn w:val="Normal"/>
    <w:pPr>
      <w:spacing w:before="100" w:beforeAutospacing="1" w:after="100" w:afterAutospacing="1"/>
    </w:pPr>
    <w:rPr>
      <w:color w:val="0075BD"/>
    </w:rPr>
  </w:style>
  <w:style w:type="paragraph" w:customStyle="1" w:styleId="iatafgcolorsblue5">
    <w:name w:val="iatafgcolorsblue5"/>
    <w:basedOn w:val="Normal"/>
    <w:pPr>
      <w:spacing w:before="100" w:beforeAutospacing="1" w:after="100" w:afterAutospacing="1"/>
    </w:pPr>
    <w:rPr>
      <w:color w:val="038FD7"/>
    </w:rPr>
  </w:style>
  <w:style w:type="paragraph" w:customStyle="1" w:styleId="iatafgcolorsblue4">
    <w:name w:val="iatafgcolorsblue4"/>
    <w:basedOn w:val="Normal"/>
    <w:pPr>
      <w:spacing w:before="100" w:beforeAutospacing="1" w:after="100" w:afterAutospacing="1"/>
    </w:pPr>
    <w:rPr>
      <w:color w:val="4EA9E3"/>
    </w:rPr>
  </w:style>
  <w:style w:type="paragraph" w:customStyle="1" w:styleId="iatafgcolorsblue3">
    <w:name w:val="iatafgcolorsblue3"/>
    <w:basedOn w:val="Normal"/>
    <w:pPr>
      <w:spacing w:before="100" w:beforeAutospacing="1" w:after="100" w:afterAutospacing="1"/>
    </w:pPr>
    <w:rPr>
      <w:color w:val="6BBBEA"/>
    </w:rPr>
  </w:style>
  <w:style w:type="paragraph" w:customStyle="1" w:styleId="iatafgcolorsblue2">
    <w:name w:val="iatafgcolorsblue2"/>
    <w:basedOn w:val="Normal"/>
    <w:pPr>
      <w:spacing w:before="100" w:beforeAutospacing="1" w:after="100" w:afterAutospacing="1"/>
    </w:pPr>
    <w:rPr>
      <w:color w:val="A6D7F5"/>
    </w:rPr>
  </w:style>
  <w:style w:type="paragraph" w:customStyle="1" w:styleId="iatafgcolorswhite">
    <w:name w:val="iatafgcolorswhite"/>
    <w:basedOn w:val="Normal"/>
    <w:pPr>
      <w:spacing w:before="100" w:beforeAutospacing="1" w:after="100" w:afterAutospacing="1"/>
    </w:pPr>
    <w:rPr>
      <w:color w:val="FFFFFF"/>
    </w:rPr>
  </w:style>
  <w:style w:type="paragraph" w:customStyle="1" w:styleId="iatafgcolorsgrey">
    <w:name w:val="iatafgcolorsgrey"/>
    <w:basedOn w:val="Normal"/>
    <w:pPr>
      <w:spacing w:before="100" w:beforeAutospacing="1" w:after="100" w:afterAutospacing="1"/>
    </w:pPr>
    <w:rPr>
      <w:color w:val="C0C0C0"/>
    </w:rPr>
  </w:style>
  <w:style w:type="paragraph" w:customStyle="1" w:styleId="iatatablegroup">
    <w:name w:val="iatatablegroup"/>
    <w:basedOn w:val="Normal"/>
    <w:pPr>
      <w:spacing w:before="225" w:after="100" w:afterAutospacing="1"/>
    </w:pPr>
  </w:style>
  <w:style w:type="paragraph" w:customStyle="1" w:styleId="iatatablenumber">
    <w:name w:val="iatatablenumber"/>
    <w:basedOn w:val="Normal"/>
    <w:pPr>
      <w:spacing w:before="100" w:beforeAutospacing="1" w:after="100" w:afterAutospacing="1"/>
    </w:pPr>
    <w:rPr>
      <w:b/>
      <w:bCs/>
      <w:sz w:val="29"/>
      <w:szCs w:val="29"/>
    </w:rPr>
  </w:style>
  <w:style w:type="paragraph" w:customStyle="1" w:styleId="iatatableheading">
    <w:name w:val="iatatableheading"/>
    <w:basedOn w:val="Normal"/>
    <w:pPr>
      <w:spacing w:before="100" w:beforeAutospacing="1" w:after="100" w:afterAutospacing="1"/>
    </w:pPr>
    <w:rPr>
      <w:b/>
      <w:bCs/>
      <w:sz w:val="33"/>
      <w:szCs w:val="33"/>
    </w:rPr>
  </w:style>
  <w:style w:type="paragraph" w:customStyle="1" w:styleId="iatatablecaption">
    <w:name w:val="iatatablecaption"/>
    <w:basedOn w:val="Normal"/>
    <w:pPr>
      <w:spacing w:before="100" w:beforeAutospacing="1" w:after="100" w:afterAutospacing="1"/>
    </w:pPr>
    <w:rPr>
      <w:b/>
      <w:bCs/>
      <w:sz w:val="22"/>
      <w:szCs w:val="22"/>
    </w:rPr>
  </w:style>
  <w:style w:type="paragraph" w:customStyle="1" w:styleId="iatatable">
    <w:name w:val="iatatable"/>
    <w:basedOn w:val="Normal"/>
    <w:pPr>
      <w:spacing w:before="300" w:after="100" w:afterAutospacing="1"/>
    </w:pPr>
  </w:style>
  <w:style w:type="paragraph" w:customStyle="1" w:styleId="iatawidthfull">
    <w:name w:val="iatawidthfull"/>
    <w:basedOn w:val="Normal"/>
    <w:pPr>
      <w:spacing w:before="100" w:beforeAutospacing="1" w:after="100" w:afterAutospacing="1"/>
    </w:pPr>
  </w:style>
  <w:style w:type="paragraph" w:customStyle="1" w:styleId="iatawidthhalf">
    <w:name w:val="iatawidthhalf"/>
    <w:basedOn w:val="Normal"/>
    <w:pPr>
      <w:spacing w:before="100" w:beforeAutospacing="1" w:after="100" w:afterAutospacing="1"/>
    </w:pPr>
  </w:style>
  <w:style w:type="paragraph" w:customStyle="1" w:styleId="iataframetop">
    <w:name w:val="iataframetop"/>
    <w:basedOn w:val="Normal"/>
    <w:pPr>
      <w:pBdr>
        <w:top w:val="single" w:sz="6" w:space="0" w:color="000000"/>
      </w:pBdr>
      <w:spacing w:before="100" w:beforeAutospacing="1" w:after="100" w:afterAutospacing="1"/>
    </w:pPr>
  </w:style>
  <w:style w:type="paragraph" w:customStyle="1" w:styleId="iataframebottom">
    <w:name w:val="iataframebottom"/>
    <w:basedOn w:val="Normal"/>
    <w:pPr>
      <w:pBdr>
        <w:bottom w:val="single" w:sz="6" w:space="0" w:color="000000"/>
      </w:pBdr>
      <w:spacing w:before="100" w:beforeAutospacing="1" w:after="100" w:afterAutospacing="1"/>
    </w:pPr>
  </w:style>
  <w:style w:type="paragraph" w:customStyle="1" w:styleId="iataframehsides">
    <w:name w:val="iataframehsides"/>
    <w:basedOn w:val="Normal"/>
    <w:pPr>
      <w:pBdr>
        <w:top w:val="single" w:sz="6" w:space="0" w:color="000000"/>
        <w:bottom w:val="single" w:sz="6" w:space="0" w:color="000000"/>
      </w:pBdr>
      <w:spacing w:before="100" w:beforeAutospacing="1" w:after="100" w:afterAutospacing="1"/>
    </w:pPr>
  </w:style>
  <w:style w:type="paragraph" w:customStyle="1" w:styleId="iataframevsides">
    <w:name w:val="iataframevsides"/>
    <w:basedOn w:val="Normal"/>
    <w:pPr>
      <w:pBdr>
        <w:left w:val="single" w:sz="6" w:space="0" w:color="000000"/>
        <w:right w:val="single" w:sz="6" w:space="0" w:color="000000"/>
      </w:pBdr>
      <w:spacing w:before="100" w:beforeAutospacing="1" w:after="100" w:afterAutospacing="1"/>
    </w:pPr>
  </w:style>
  <w:style w:type="paragraph" w:customStyle="1" w:styleId="iataframeall">
    <w:name w:val="iataframeall"/>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iataframenone">
    <w:name w:val="iataframenone"/>
    <w:basedOn w:val="Normal"/>
    <w:pPr>
      <w:spacing w:before="100" w:beforeAutospacing="1" w:after="100" w:afterAutospacing="1"/>
    </w:pPr>
  </w:style>
  <w:style w:type="paragraph" w:customStyle="1" w:styleId="iatathead">
    <w:name w:val="iatathead"/>
    <w:basedOn w:val="Normal"/>
    <w:pPr>
      <w:shd w:val="clear" w:color="auto" w:fill="EFEFEF"/>
      <w:spacing w:before="100" w:beforeAutospacing="1" w:after="100" w:afterAutospacing="1"/>
    </w:pPr>
  </w:style>
  <w:style w:type="paragraph" w:customStyle="1" w:styleId="iatatd">
    <w:name w:val="iatatd"/>
    <w:basedOn w:val="Normal"/>
    <w:pPr>
      <w:spacing w:before="100" w:beforeAutospacing="1" w:after="100" w:afterAutospacing="1"/>
    </w:pPr>
  </w:style>
  <w:style w:type="paragraph" w:customStyle="1" w:styleId="iatarow0">
    <w:name w:val="iatarow0"/>
    <w:basedOn w:val="Normal"/>
    <w:pPr>
      <w:spacing w:before="100" w:beforeAutospacing="1" w:after="100" w:afterAutospacing="1"/>
    </w:pPr>
  </w:style>
  <w:style w:type="paragraph" w:customStyle="1" w:styleId="iatarow1">
    <w:name w:val="iatarow1"/>
    <w:basedOn w:val="Normal"/>
    <w:pPr>
      <w:pBdr>
        <w:bottom w:val="single" w:sz="6" w:space="0" w:color="000000"/>
      </w:pBdr>
      <w:spacing w:before="100" w:beforeAutospacing="1" w:after="100" w:afterAutospacing="1"/>
    </w:pPr>
  </w:style>
  <w:style w:type="paragraph" w:customStyle="1" w:styleId="iatarow2">
    <w:name w:val="iatarow2"/>
    <w:basedOn w:val="Normal"/>
    <w:pPr>
      <w:pBdr>
        <w:bottom w:val="double" w:sz="6" w:space="0" w:color="000000"/>
      </w:pBdr>
      <w:spacing w:before="100" w:beforeAutospacing="1" w:after="100" w:afterAutospacing="1"/>
    </w:pPr>
  </w:style>
  <w:style w:type="paragraph" w:customStyle="1" w:styleId="iatacol0">
    <w:name w:val="iatacol0"/>
    <w:basedOn w:val="Normal"/>
    <w:pPr>
      <w:spacing w:before="100" w:beforeAutospacing="1" w:after="100" w:afterAutospacing="1"/>
    </w:pPr>
  </w:style>
  <w:style w:type="paragraph" w:customStyle="1" w:styleId="iatacol1">
    <w:name w:val="iatacol1"/>
    <w:basedOn w:val="Normal"/>
    <w:pPr>
      <w:pBdr>
        <w:right w:val="single" w:sz="6" w:space="0" w:color="000000"/>
      </w:pBdr>
      <w:spacing w:before="100" w:beforeAutospacing="1" w:after="100" w:afterAutospacing="1"/>
    </w:pPr>
  </w:style>
  <w:style w:type="paragraph" w:customStyle="1" w:styleId="iatacol2">
    <w:name w:val="iatacol2"/>
    <w:basedOn w:val="Normal"/>
    <w:pPr>
      <w:pBdr>
        <w:right w:val="double" w:sz="6" w:space="0" w:color="000000"/>
      </w:pBdr>
      <w:spacing w:before="100" w:beforeAutospacing="1" w:after="100" w:afterAutospacing="1"/>
    </w:pPr>
  </w:style>
  <w:style w:type="paragraph" w:customStyle="1" w:styleId="iatabgshadelight">
    <w:name w:val="iatabgshadelight"/>
    <w:basedOn w:val="Normal"/>
    <w:pPr>
      <w:shd w:val="clear" w:color="auto" w:fill="DEDEDE"/>
      <w:spacing w:before="100" w:beforeAutospacing="1" w:after="100" w:afterAutospacing="1"/>
    </w:pPr>
  </w:style>
  <w:style w:type="paragraph" w:customStyle="1" w:styleId="iatabgshademedium">
    <w:name w:val="iatabgshademedium"/>
    <w:basedOn w:val="Normal"/>
    <w:pPr>
      <w:shd w:val="clear" w:color="auto" w:fill="B0B0B0"/>
      <w:spacing w:before="100" w:beforeAutospacing="1" w:after="100" w:afterAutospacing="1"/>
    </w:pPr>
  </w:style>
  <w:style w:type="paragraph" w:customStyle="1" w:styleId="iatabgshadeheavy">
    <w:name w:val="iatabgshadeheavy"/>
    <w:basedOn w:val="Normal"/>
    <w:pPr>
      <w:shd w:val="clear" w:color="auto" w:fill="808080"/>
      <w:spacing w:before="100" w:beforeAutospacing="1" w:after="100" w:afterAutospacing="1"/>
    </w:pPr>
  </w:style>
  <w:style w:type="paragraph" w:customStyle="1" w:styleId="iatahleft">
    <w:name w:val="iatahleft"/>
    <w:basedOn w:val="Normal"/>
    <w:pPr>
      <w:spacing w:before="100" w:beforeAutospacing="1" w:after="100" w:afterAutospacing="1"/>
    </w:pPr>
  </w:style>
  <w:style w:type="paragraph" w:customStyle="1" w:styleId="iatahright">
    <w:name w:val="iatahright"/>
    <w:basedOn w:val="Normal"/>
    <w:pPr>
      <w:spacing w:before="100" w:beforeAutospacing="1" w:after="100" w:afterAutospacing="1"/>
      <w:jc w:val="right"/>
    </w:pPr>
  </w:style>
  <w:style w:type="paragraph" w:customStyle="1" w:styleId="iatahcenter">
    <w:name w:val="iatahcenter"/>
    <w:basedOn w:val="Normal"/>
    <w:pPr>
      <w:spacing w:before="100" w:beforeAutospacing="1" w:after="100" w:afterAutospacing="1"/>
      <w:jc w:val="center"/>
    </w:pPr>
  </w:style>
  <w:style w:type="paragraph" w:customStyle="1" w:styleId="iatahjustify">
    <w:name w:val="iatahjustify"/>
    <w:basedOn w:val="Normal"/>
    <w:pPr>
      <w:spacing w:before="100" w:beforeAutospacing="1" w:after="100" w:afterAutospacing="1"/>
      <w:jc w:val="both"/>
    </w:pPr>
  </w:style>
  <w:style w:type="paragraph" w:customStyle="1" w:styleId="iatavaligntop">
    <w:name w:val="iatavaligntop"/>
    <w:basedOn w:val="Normal"/>
    <w:pPr>
      <w:spacing w:before="100" w:beforeAutospacing="1" w:after="100" w:afterAutospacing="1"/>
      <w:textAlignment w:val="top"/>
    </w:pPr>
  </w:style>
  <w:style w:type="paragraph" w:customStyle="1" w:styleId="iatavalignmiddle">
    <w:name w:val="iatavalignmiddle"/>
    <w:basedOn w:val="Normal"/>
    <w:pPr>
      <w:spacing w:before="100" w:beforeAutospacing="1" w:after="100" w:afterAutospacing="1"/>
      <w:textAlignment w:val="center"/>
    </w:pPr>
  </w:style>
  <w:style w:type="paragraph" w:customStyle="1" w:styleId="iatavalignbottom">
    <w:name w:val="iatavalignbottom"/>
    <w:basedOn w:val="Normal"/>
    <w:pPr>
      <w:spacing w:before="100" w:beforeAutospacing="1" w:after="100" w:afterAutospacing="1"/>
      <w:textAlignment w:val="bottom"/>
    </w:pPr>
  </w:style>
  <w:style w:type="paragraph" w:customStyle="1" w:styleId="iatanormal">
    <w:name w:val="iatanormal"/>
    <w:basedOn w:val="Normal"/>
    <w:pPr>
      <w:spacing w:before="100" w:beforeAutospacing="1" w:after="100" w:afterAutospacing="1"/>
    </w:pPr>
  </w:style>
  <w:style w:type="paragraph" w:customStyle="1" w:styleId="iatabold">
    <w:name w:val="iatabold"/>
    <w:basedOn w:val="Normal"/>
    <w:pPr>
      <w:spacing w:before="100" w:beforeAutospacing="1" w:after="100" w:afterAutospacing="1"/>
    </w:pPr>
    <w:rPr>
      <w:b/>
      <w:bCs/>
    </w:rPr>
  </w:style>
  <w:style w:type="paragraph" w:customStyle="1" w:styleId="iataitalic">
    <w:name w:val="iataitalic"/>
    <w:basedOn w:val="Normal"/>
    <w:pPr>
      <w:spacing w:before="100" w:beforeAutospacing="1" w:after="100" w:afterAutospacing="1"/>
    </w:pPr>
    <w:rPr>
      <w:i/>
      <w:iCs/>
    </w:rPr>
  </w:style>
  <w:style w:type="paragraph" w:customStyle="1" w:styleId="iataunderline">
    <w:name w:val="iataunderline"/>
    <w:basedOn w:val="Normal"/>
    <w:pPr>
      <w:spacing w:before="100" w:beforeAutospacing="1" w:after="100" w:afterAutospacing="1"/>
    </w:pPr>
    <w:rPr>
      <w:u w:val="single"/>
    </w:rPr>
  </w:style>
  <w:style w:type="paragraph" w:customStyle="1" w:styleId="iatasubs">
    <w:name w:val="iatasubs"/>
    <w:basedOn w:val="Normal"/>
    <w:pPr>
      <w:spacing w:before="100" w:beforeAutospacing="1" w:after="100" w:afterAutospacing="1"/>
    </w:pPr>
    <w:rPr>
      <w:sz w:val="14"/>
      <w:szCs w:val="14"/>
    </w:rPr>
  </w:style>
  <w:style w:type="paragraph" w:customStyle="1" w:styleId="iatasups">
    <w:name w:val="iatasups"/>
    <w:basedOn w:val="Normal"/>
    <w:pPr>
      <w:spacing w:before="100" w:beforeAutospacing="1" w:after="100" w:afterAutospacing="1"/>
    </w:pPr>
    <w:rPr>
      <w:sz w:val="14"/>
      <w:szCs w:val="14"/>
    </w:rPr>
  </w:style>
  <w:style w:type="paragraph" w:customStyle="1" w:styleId="iatalarge">
    <w:name w:val="iatalarge"/>
    <w:basedOn w:val="Normal"/>
    <w:pPr>
      <w:spacing w:before="100" w:beforeAutospacing="1" w:after="100" w:afterAutospacing="1"/>
    </w:pPr>
    <w:rPr>
      <w:sz w:val="30"/>
      <w:szCs w:val="30"/>
    </w:rPr>
  </w:style>
  <w:style w:type="paragraph" w:customStyle="1" w:styleId="iatafixwidthfont">
    <w:name w:val="iatafixwidthfont"/>
    <w:basedOn w:val="Normal"/>
    <w:pPr>
      <w:spacing w:before="100" w:beforeAutospacing="1" w:after="100" w:afterAutospacing="1"/>
    </w:pPr>
    <w:rPr>
      <w:rFonts w:ascii="Courier New" w:hAnsi="Courier New" w:cs="Courier New"/>
    </w:rPr>
  </w:style>
  <w:style w:type="paragraph" w:customStyle="1" w:styleId="iatastrikethrough">
    <w:name w:val="iatastrikethrough"/>
    <w:basedOn w:val="Normal"/>
    <w:pPr>
      <w:spacing w:before="100" w:beforeAutospacing="1" w:after="100" w:afterAutospacing="1"/>
    </w:pPr>
    <w:rPr>
      <w:strike/>
    </w:rPr>
  </w:style>
  <w:style w:type="paragraph" w:customStyle="1" w:styleId="iatalist">
    <w:name w:val="iatalist"/>
    <w:basedOn w:val="Normal"/>
    <w:pPr>
      <w:spacing w:before="150" w:after="100" w:afterAutospacing="1"/>
    </w:pPr>
  </w:style>
  <w:style w:type="paragraph" w:customStyle="1" w:styleId="iatalistheading">
    <w:name w:val="iatalistheading"/>
    <w:basedOn w:val="Normal"/>
    <w:pPr>
      <w:spacing w:before="100" w:beforeAutospacing="1" w:after="100" w:afterAutospacing="1"/>
    </w:pPr>
    <w:rPr>
      <w:b/>
      <w:bCs/>
    </w:rPr>
  </w:style>
  <w:style w:type="paragraph" w:customStyle="1" w:styleId="iatalistitem-alphabetical">
    <w:name w:val="iatalistitem-alphabetical"/>
    <w:basedOn w:val="Normal"/>
    <w:pPr>
      <w:spacing w:before="75" w:after="100" w:afterAutospacing="1"/>
      <w:ind w:left="375"/>
    </w:pPr>
  </w:style>
  <w:style w:type="paragraph" w:customStyle="1" w:styleId="iatalistlbl-alphabetical">
    <w:name w:val="iatalistlbl-alphabetical"/>
    <w:basedOn w:val="Normal"/>
    <w:pPr>
      <w:spacing w:before="100" w:beforeAutospacing="1" w:after="100" w:afterAutospacing="1"/>
      <w:ind w:left="-375"/>
    </w:pPr>
    <w:rPr>
      <w:b/>
      <w:bCs/>
    </w:rPr>
  </w:style>
  <w:style w:type="paragraph" w:customStyle="1" w:styleId="iatalistitem-numerical">
    <w:name w:val="iatalistitem-numerical"/>
    <w:basedOn w:val="Normal"/>
    <w:pPr>
      <w:spacing w:before="75" w:after="100" w:afterAutospacing="1"/>
      <w:ind w:left="375"/>
    </w:pPr>
  </w:style>
  <w:style w:type="paragraph" w:customStyle="1" w:styleId="iatalistlbl-numerical">
    <w:name w:val="iatalistlbl-numerical"/>
    <w:basedOn w:val="Normal"/>
    <w:pPr>
      <w:spacing w:before="100" w:beforeAutospacing="1" w:after="100" w:afterAutospacing="1"/>
      <w:ind w:left="-375"/>
      <w:jc w:val="right"/>
    </w:pPr>
    <w:rPr>
      <w:b/>
      <w:bCs/>
    </w:rPr>
  </w:style>
  <w:style w:type="paragraph" w:customStyle="1" w:styleId="iatalistitem-lower-roman">
    <w:name w:val="iatalistitem-lower-roman"/>
    <w:basedOn w:val="Normal"/>
    <w:pPr>
      <w:spacing w:before="75" w:after="100" w:afterAutospacing="1"/>
      <w:ind w:left="375"/>
    </w:pPr>
  </w:style>
  <w:style w:type="paragraph" w:customStyle="1" w:styleId="iatalistlbl-lower-roman">
    <w:name w:val="iatalistlbl-lower-roman"/>
    <w:basedOn w:val="Normal"/>
    <w:pPr>
      <w:spacing w:before="100" w:beforeAutospacing="1" w:after="100" w:afterAutospacing="1"/>
      <w:ind w:left="-375"/>
      <w:jc w:val="right"/>
    </w:pPr>
    <w:rPr>
      <w:b/>
      <w:bCs/>
    </w:rPr>
  </w:style>
  <w:style w:type="paragraph" w:customStyle="1" w:styleId="iatalistitem-upper-roman">
    <w:name w:val="iatalistitem-upper-roman"/>
    <w:basedOn w:val="Normal"/>
    <w:pPr>
      <w:spacing w:before="75" w:after="100" w:afterAutospacing="1"/>
      <w:ind w:left="375"/>
    </w:pPr>
  </w:style>
  <w:style w:type="paragraph" w:customStyle="1" w:styleId="iatalistlbl-upper-roman">
    <w:name w:val="iatalistlbl-upper-roman"/>
    <w:basedOn w:val="Normal"/>
    <w:pPr>
      <w:spacing w:before="100" w:beforeAutospacing="1" w:after="100" w:afterAutospacing="1"/>
      <w:ind w:left="-375"/>
      <w:jc w:val="right"/>
    </w:pPr>
    <w:rPr>
      <w:b/>
      <w:bCs/>
    </w:rPr>
  </w:style>
  <w:style w:type="paragraph" w:customStyle="1" w:styleId="iatalistitem-bullet">
    <w:name w:val="iatalistitem-bullet"/>
    <w:basedOn w:val="Normal"/>
    <w:pPr>
      <w:spacing w:before="75" w:after="100" w:afterAutospacing="1"/>
      <w:ind w:left="180"/>
    </w:pPr>
  </w:style>
  <w:style w:type="paragraph" w:customStyle="1" w:styleId="iatalistitem-circle">
    <w:name w:val="iatalistitem-circle"/>
    <w:basedOn w:val="Normal"/>
    <w:pPr>
      <w:spacing w:before="75" w:after="100" w:afterAutospacing="1"/>
      <w:ind w:left="180"/>
    </w:pPr>
  </w:style>
  <w:style w:type="paragraph" w:customStyle="1" w:styleId="iatalistlbl-bullet">
    <w:name w:val="iatalistlbl-bullet"/>
    <w:basedOn w:val="Normal"/>
    <w:pPr>
      <w:spacing w:before="100" w:beforeAutospacing="1" w:after="100" w:afterAutospacing="1"/>
      <w:ind w:left="-180"/>
    </w:pPr>
    <w:rPr>
      <w:b/>
      <w:bCs/>
    </w:rPr>
  </w:style>
  <w:style w:type="paragraph" w:customStyle="1" w:styleId="iatalistlbl-circle">
    <w:name w:val="iatalistlbl-circle"/>
    <w:basedOn w:val="Normal"/>
    <w:pPr>
      <w:spacing w:before="100" w:beforeAutospacing="1" w:after="100" w:afterAutospacing="1"/>
      <w:ind w:left="-180"/>
    </w:pPr>
    <w:rPr>
      <w:b/>
      <w:bCs/>
    </w:rPr>
  </w:style>
  <w:style w:type="paragraph" w:customStyle="1" w:styleId="iatalistitem-mdash">
    <w:name w:val="iatalistitem-mdash"/>
    <w:basedOn w:val="Normal"/>
    <w:pPr>
      <w:spacing w:before="75" w:after="100" w:afterAutospacing="1"/>
      <w:ind w:left="300"/>
    </w:pPr>
  </w:style>
  <w:style w:type="paragraph" w:customStyle="1" w:styleId="iatalistlbl-mdash">
    <w:name w:val="iatalistlbl-mdash"/>
    <w:basedOn w:val="Normal"/>
    <w:pPr>
      <w:spacing w:before="100" w:beforeAutospacing="1" w:after="100" w:afterAutospacing="1"/>
      <w:ind w:left="-300"/>
    </w:pPr>
    <w:rPr>
      <w:b/>
      <w:bCs/>
    </w:rPr>
  </w:style>
  <w:style w:type="paragraph" w:customStyle="1" w:styleId="iatalistitem-square">
    <w:name w:val="iatalistitem-square"/>
    <w:basedOn w:val="Normal"/>
    <w:pPr>
      <w:spacing w:before="75" w:after="100" w:afterAutospacing="1"/>
      <w:ind w:left="225"/>
    </w:pPr>
  </w:style>
  <w:style w:type="paragraph" w:customStyle="1" w:styleId="iatalistitem-ndash">
    <w:name w:val="iatalistitem-ndash"/>
    <w:basedOn w:val="Normal"/>
    <w:pPr>
      <w:spacing w:before="75" w:after="100" w:afterAutospacing="1"/>
      <w:ind w:left="225"/>
    </w:pPr>
  </w:style>
  <w:style w:type="paragraph" w:customStyle="1" w:styleId="iatalistlbl-square">
    <w:name w:val="iatalistlbl-square"/>
    <w:basedOn w:val="Normal"/>
    <w:pPr>
      <w:spacing w:before="100" w:beforeAutospacing="1" w:after="100" w:afterAutospacing="1"/>
      <w:ind w:left="-225"/>
    </w:pPr>
    <w:rPr>
      <w:b/>
      <w:bCs/>
    </w:rPr>
  </w:style>
  <w:style w:type="paragraph" w:customStyle="1" w:styleId="iatalistlbl-ndash">
    <w:name w:val="iatalistlbl-ndash"/>
    <w:basedOn w:val="Normal"/>
    <w:pPr>
      <w:spacing w:before="100" w:beforeAutospacing="1" w:after="100" w:afterAutospacing="1"/>
      <w:ind w:left="-225"/>
    </w:pPr>
    <w:rPr>
      <w:b/>
      <w:bCs/>
    </w:rPr>
  </w:style>
  <w:style w:type="paragraph" w:customStyle="1" w:styleId="iatalistitem-none">
    <w:name w:val="iatalistitem-none"/>
    <w:basedOn w:val="Normal"/>
    <w:pPr>
      <w:spacing w:before="75" w:after="100" w:afterAutospacing="1"/>
      <w:ind w:left="225"/>
    </w:pPr>
  </w:style>
  <w:style w:type="paragraph" w:customStyle="1" w:styleId="iatalistsubitem">
    <w:name w:val="iatalistsubitem"/>
    <w:basedOn w:val="Normal"/>
    <w:pPr>
      <w:spacing w:before="150" w:after="100" w:afterAutospacing="1"/>
    </w:pPr>
  </w:style>
  <w:style w:type="paragraph" w:customStyle="1" w:styleId="iatasection1">
    <w:name w:val="iatasection1"/>
    <w:basedOn w:val="Normal"/>
    <w:pPr>
      <w:spacing w:before="200" w:after="100" w:afterAutospacing="1"/>
    </w:pPr>
  </w:style>
  <w:style w:type="paragraph" w:customStyle="1" w:styleId="iatasection2">
    <w:name w:val="iatasection2"/>
    <w:basedOn w:val="Normal"/>
    <w:pPr>
      <w:spacing w:before="225" w:after="150"/>
    </w:pPr>
  </w:style>
  <w:style w:type="paragraph" w:customStyle="1" w:styleId="iatasection3">
    <w:name w:val="iatasection3"/>
    <w:basedOn w:val="Normal"/>
    <w:pPr>
      <w:spacing w:before="225" w:after="150"/>
    </w:pPr>
  </w:style>
  <w:style w:type="paragraph" w:customStyle="1" w:styleId="iatasection4">
    <w:name w:val="iatasection4"/>
    <w:basedOn w:val="Normal"/>
    <w:pPr>
      <w:spacing w:before="225" w:after="150"/>
    </w:pPr>
  </w:style>
  <w:style w:type="paragraph" w:customStyle="1" w:styleId="iatasection5">
    <w:name w:val="iatasection5"/>
    <w:basedOn w:val="Normal"/>
    <w:pPr>
      <w:spacing w:before="225" w:after="150"/>
    </w:pPr>
  </w:style>
  <w:style w:type="paragraph" w:customStyle="1" w:styleId="iatasection6">
    <w:name w:val="iatasection6"/>
    <w:basedOn w:val="Normal"/>
    <w:pPr>
      <w:spacing w:before="225" w:after="150"/>
    </w:pPr>
  </w:style>
  <w:style w:type="paragraph" w:customStyle="1" w:styleId="iatasection7">
    <w:name w:val="iatasection7"/>
    <w:basedOn w:val="Normal"/>
    <w:pPr>
      <w:spacing w:before="225" w:after="150"/>
    </w:pPr>
  </w:style>
  <w:style w:type="paragraph" w:customStyle="1" w:styleId="iatasection8">
    <w:name w:val="iatasection8"/>
    <w:basedOn w:val="Normal"/>
    <w:pPr>
      <w:spacing w:before="225" w:after="150"/>
    </w:pPr>
  </w:style>
  <w:style w:type="paragraph" w:customStyle="1" w:styleId="iatasection1shortheading">
    <w:name w:val="iatasection1shortheading"/>
    <w:basedOn w:val="Normal"/>
    <w:pPr>
      <w:spacing w:before="100" w:beforeAutospacing="1" w:after="100" w:afterAutospacing="1"/>
    </w:pPr>
    <w:rPr>
      <w:b/>
      <w:bCs/>
    </w:rPr>
  </w:style>
  <w:style w:type="paragraph" w:customStyle="1" w:styleId="iatasection2shortheading">
    <w:name w:val="iatasection2shortheading"/>
    <w:basedOn w:val="Normal"/>
    <w:pPr>
      <w:spacing w:before="100" w:beforeAutospacing="1" w:after="100" w:afterAutospacing="1"/>
    </w:pPr>
    <w:rPr>
      <w:b/>
      <w:bCs/>
    </w:rPr>
  </w:style>
  <w:style w:type="paragraph" w:customStyle="1" w:styleId="iatasection3shortheading">
    <w:name w:val="iatasection3shortheading"/>
    <w:basedOn w:val="Normal"/>
    <w:pPr>
      <w:spacing w:before="100" w:beforeAutospacing="1" w:after="100" w:afterAutospacing="1"/>
    </w:pPr>
    <w:rPr>
      <w:b/>
      <w:bCs/>
    </w:rPr>
  </w:style>
  <w:style w:type="paragraph" w:customStyle="1" w:styleId="iatasection4shortheading">
    <w:name w:val="iatasection4shortheading"/>
    <w:basedOn w:val="Normal"/>
    <w:pPr>
      <w:spacing w:before="100" w:beforeAutospacing="1" w:after="100" w:afterAutospacing="1"/>
    </w:pPr>
    <w:rPr>
      <w:b/>
      <w:bCs/>
    </w:rPr>
  </w:style>
  <w:style w:type="paragraph" w:customStyle="1" w:styleId="iatasection5shortheading">
    <w:name w:val="iatasection5shortheading"/>
    <w:basedOn w:val="Normal"/>
    <w:pPr>
      <w:spacing w:before="100" w:beforeAutospacing="1" w:after="100" w:afterAutospacing="1"/>
    </w:pPr>
    <w:rPr>
      <w:b/>
      <w:bCs/>
    </w:rPr>
  </w:style>
  <w:style w:type="paragraph" w:customStyle="1" w:styleId="iatasection6shortheading">
    <w:name w:val="iatasection6shortheading"/>
    <w:basedOn w:val="Normal"/>
    <w:pPr>
      <w:spacing w:before="100" w:beforeAutospacing="1" w:after="100" w:afterAutospacing="1"/>
    </w:pPr>
    <w:rPr>
      <w:b/>
      <w:bCs/>
    </w:rPr>
  </w:style>
  <w:style w:type="paragraph" w:customStyle="1" w:styleId="iataoperator">
    <w:name w:val="iataoperator"/>
    <w:basedOn w:val="Normal"/>
    <w:pPr>
      <w:spacing w:before="450" w:after="100" w:afterAutospacing="1"/>
    </w:pPr>
  </w:style>
  <w:style w:type="paragraph" w:customStyle="1" w:styleId="iatastate">
    <w:name w:val="iatastate"/>
    <w:basedOn w:val="Normal"/>
    <w:pPr>
      <w:spacing w:before="450" w:after="100" w:afterAutospacing="1"/>
    </w:pPr>
  </w:style>
  <w:style w:type="paragraph" w:customStyle="1" w:styleId="iatavariation">
    <w:name w:val="iatavariation"/>
    <w:basedOn w:val="Normal"/>
    <w:pPr>
      <w:spacing w:before="150" w:after="100" w:afterAutospacing="1"/>
    </w:pPr>
  </w:style>
  <w:style w:type="paragraph" w:customStyle="1" w:styleId="iatavariations">
    <w:name w:val="iatavariations"/>
    <w:basedOn w:val="Normal"/>
    <w:pPr>
      <w:spacing w:before="150" w:after="100" w:afterAutospacing="1"/>
    </w:pPr>
  </w:style>
  <w:style w:type="paragraph" w:customStyle="1" w:styleId="iatadefinition">
    <w:name w:val="iatadefinition"/>
    <w:basedOn w:val="Normal"/>
    <w:pPr>
      <w:spacing w:before="150" w:after="100" w:afterAutospacing="1"/>
      <w:ind w:left="300"/>
    </w:pPr>
  </w:style>
  <w:style w:type="paragraph" w:customStyle="1" w:styleId="iatadefinitiongroup">
    <w:name w:val="iatadefinitiongroup"/>
    <w:basedOn w:val="Normal"/>
    <w:pPr>
      <w:spacing w:before="100" w:beforeAutospacing="1" w:after="100" w:afterAutospacing="1"/>
    </w:pPr>
  </w:style>
  <w:style w:type="paragraph" w:customStyle="1" w:styleId="iatadefinitiongroupheading">
    <w:name w:val="iatadefinitiongroupheading"/>
    <w:basedOn w:val="Normal"/>
    <w:pPr>
      <w:spacing w:before="150" w:after="150"/>
      <w:ind w:left="300"/>
    </w:pPr>
  </w:style>
  <w:style w:type="paragraph" w:customStyle="1" w:styleId="iataglossary">
    <w:name w:val="iataglossary"/>
    <w:basedOn w:val="Normal"/>
    <w:pPr>
      <w:spacing w:before="100" w:beforeAutospacing="1" w:after="100" w:afterAutospacing="1"/>
    </w:pPr>
  </w:style>
  <w:style w:type="paragraph" w:customStyle="1" w:styleId="iataglossaryheading">
    <w:name w:val="iataglossaryheading"/>
    <w:basedOn w:val="Normal"/>
    <w:pPr>
      <w:spacing w:before="100" w:beforeAutospacing="1" w:after="100" w:afterAutospacing="1"/>
    </w:pPr>
    <w:rPr>
      <w:b/>
      <w:bCs/>
      <w:sz w:val="35"/>
      <w:szCs w:val="35"/>
    </w:rPr>
  </w:style>
  <w:style w:type="paragraph" w:customStyle="1" w:styleId="iataletterlevel">
    <w:name w:val="iataletterlevel"/>
    <w:basedOn w:val="Normal"/>
    <w:pPr>
      <w:spacing w:before="240" w:after="240"/>
    </w:pPr>
  </w:style>
  <w:style w:type="paragraph" w:customStyle="1" w:styleId="iataletter">
    <w:name w:val="iataletter"/>
    <w:basedOn w:val="Normal"/>
    <w:pPr>
      <w:spacing w:before="100" w:beforeAutospacing="1" w:after="120"/>
    </w:pPr>
    <w:rPr>
      <w:b/>
      <w:bCs/>
      <w:sz w:val="33"/>
      <w:szCs w:val="33"/>
    </w:rPr>
  </w:style>
  <w:style w:type="paragraph" w:customStyle="1" w:styleId="iataglossentry">
    <w:name w:val="iataglossentry"/>
    <w:basedOn w:val="Normal"/>
    <w:pPr>
      <w:spacing w:before="150" w:after="75"/>
    </w:pPr>
  </w:style>
  <w:style w:type="paragraph" w:customStyle="1" w:styleId="iataglossterm">
    <w:name w:val="iataglossterm"/>
    <w:basedOn w:val="Normal"/>
    <w:pPr>
      <w:spacing w:before="100" w:beforeAutospacing="1" w:after="100" w:afterAutospacing="1"/>
    </w:pPr>
    <w:rPr>
      <w:b/>
      <w:bCs/>
    </w:rPr>
  </w:style>
  <w:style w:type="paragraph" w:customStyle="1" w:styleId="iatameaning">
    <w:name w:val="iatameaning"/>
    <w:basedOn w:val="Normal"/>
    <w:pPr>
      <w:spacing w:before="100" w:beforeAutospacing="1" w:after="100" w:afterAutospacing="1"/>
    </w:pPr>
  </w:style>
  <w:style w:type="paragraph" w:customStyle="1" w:styleId="iatameaningheading">
    <w:name w:val="iatameaningheading"/>
    <w:basedOn w:val="Normal"/>
    <w:pPr>
      <w:spacing w:before="100" w:beforeAutospacing="1" w:after="100" w:afterAutospacing="1"/>
    </w:pPr>
    <w:rPr>
      <w:b/>
      <w:bCs/>
    </w:rPr>
  </w:style>
  <w:style w:type="paragraph" w:customStyle="1" w:styleId="iataterm">
    <w:name w:val="iataterm"/>
    <w:basedOn w:val="Normal"/>
    <w:pPr>
      <w:spacing w:before="100" w:beforeAutospacing="1" w:after="100" w:afterAutospacing="1"/>
    </w:pPr>
    <w:rPr>
      <w:b/>
      <w:bCs/>
    </w:rPr>
  </w:style>
  <w:style w:type="paragraph" w:customStyle="1" w:styleId="iatatermheading">
    <w:name w:val="iatatermheading"/>
    <w:basedOn w:val="Normal"/>
    <w:pPr>
      <w:spacing w:before="100" w:beforeAutospacing="1" w:after="100" w:afterAutospacing="1"/>
    </w:pPr>
    <w:rPr>
      <w:b/>
      <w:bCs/>
    </w:rPr>
  </w:style>
  <w:style w:type="paragraph" w:customStyle="1" w:styleId="iatafigure">
    <w:name w:val="iatafigure"/>
    <w:basedOn w:val="Normal"/>
    <w:pPr>
      <w:spacing w:before="225" w:after="100" w:afterAutospacing="1"/>
    </w:pPr>
  </w:style>
  <w:style w:type="paragraph" w:customStyle="1" w:styleId="iatafigurebody">
    <w:name w:val="iatafigurebody"/>
    <w:basedOn w:val="Normal"/>
    <w:pPr>
      <w:spacing w:before="100" w:beforeAutospacing="1" w:after="100" w:afterAutospacing="1"/>
    </w:pPr>
  </w:style>
  <w:style w:type="paragraph" w:customStyle="1" w:styleId="iatafigurecaption">
    <w:name w:val="iatafigurecaption"/>
    <w:basedOn w:val="Normal"/>
    <w:pPr>
      <w:spacing w:before="100" w:beforeAutospacing="1" w:after="100" w:afterAutospacing="1"/>
    </w:pPr>
    <w:rPr>
      <w:b/>
      <w:bCs/>
    </w:rPr>
  </w:style>
  <w:style w:type="paragraph" w:customStyle="1" w:styleId="iatafigureheading">
    <w:name w:val="iatafigureheading"/>
    <w:basedOn w:val="Normal"/>
    <w:pPr>
      <w:spacing w:before="100" w:beforeAutospacing="1" w:after="100" w:afterAutospacing="1"/>
    </w:pPr>
    <w:rPr>
      <w:b/>
      <w:bCs/>
      <w:sz w:val="26"/>
      <w:szCs w:val="26"/>
    </w:rPr>
  </w:style>
  <w:style w:type="paragraph" w:customStyle="1" w:styleId="iataimgblock">
    <w:name w:val="iataimgblock"/>
    <w:basedOn w:val="Normal"/>
    <w:pPr>
      <w:spacing w:before="300" w:after="100" w:afterAutospacing="1"/>
    </w:pPr>
  </w:style>
  <w:style w:type="paragraph" w:customStyle="1" w:styleId="iataimginline">
    <w:name w:val="iataimginline"/>
    <w:basedOn w:val="Normal"/>
    <w:pPr>
      <w:spacing w:before="100" w:beforeAutospacing="1" w:after="100" w:afterAutospacing="1"/>
    </w:pPr>
  </w:style>
  <w:style w:type="paragraph" w:customStyle="1" w:styleId="iataimagefloatleft">
    <w:name w:val="iataimagefloatleft"/>
    <w:basedOn w:val="Normal"/>
    <w:pPr>
      <w:spacing w:before="100" w:beforeAutospacing="1" w:after="100" w:afterAutospacing="1"/>
      <w:ind w:right="240"/>
    </w:pPr>
  </w:style>
  <w:style w:type="paragraph" w:customStyle="1" w:styleId="iatanotes">
    <w:name w:val="iatanotes"/>
    <w:basedOn w:val="Normal"/>
    <w:pPr>
      <w:spacing w:before="30" w:after="100" w:afterAutospacing="1"/>
    </w:pPr>
    <w:rPr>
      <w:i/>
      <w:iCs/>
    </w:rPr>
  </w:style>
  <w:style w:type="paragraph" w:customStyle="1" w:styleId="iatanoteslabel">
    <w:name w:val="iatanoteslabel"/>
    <w:basedOn w:val="Normal"/>
    <w:pPr>
      <w:spacing w:before="100" w:beforeAutospacing="1" w:after="100" w:afterAutospacing="1"/>
      <w:ind w:left="-375"/>
    </w:pPr>
    <w:rPr>
      <w:b/>
      <w:bCs/>
    </w:rPr>
  </w:style>
  <w:style w:type="paragraph" w:customStyle="1" w:styleId="iatanotenumber">
    <w:name w:val="iatanotenumber"/>
    <w:basedOn w:val="Normal"/>
    <w:pPr>
      <w:spacing w:before="100" w:beforeAutospacing="1" w:after="100" w:afterAutospacing="1"/>
      <w:ind w:left="-375"/>
    </w:pPr>
  </w:style>
  <w:style w:type="paragraph" w:customStyle="1" w:styleId="iatanote">
    <w:name w:val="iatanote"/>
    <w:basedOn w:val="Normal"/>
    <w:pPr>
      <w:spacing w:before="30" w:after="100" w:afterAutospacing="1"/>
    </w:pPr>
    <w:rPr>
      <w:i/>
      <w:iCs/>
    </w:rPr>
  </w:style>
  <w:style w:type="paragraph" w:customStyle="1" w:styleId="iatanotelabel">
    <w:name w:val="iatanotelabel"/>
    <w:basedOn w:val="Normal"/>
    <w:pPr>
      <w:spacing w:before="100" w:beforeAutospacing="1" w:after="100" w:afterAutospacing="1"/>
    </w:pPr>
    <w:rPr>
      <w:b/>
      <w:bCs/>
    </w:rPr>
  </w:style>
  <w:style w:type="paragraph" w:customStyle="1" w:styleId="iatanotefirstsimplepara">
    <w:name w:val="iatanotefirstsimplepara"/>
    <w:basedOn w:val="Normal"/>
    <w:pPr>
      <w:spacing w:before="100" w:beforeAutospacing="1" w:after="100" w:afterAutospacing="1"/>
    </w:pPr>
  </w:style>
  <w:style w:type="paragraph" w:customStyle="1" w:styleId="iatafootnotebody">
    <w:name w:val="iatafootnotebody"/>
    <w:basedOn w:val="Normal"/>
    <w:pPr>
      <w:spacing w:before="100" w:beforeAutospacing="1" w:after="100" w:afterAutospacing="1"/>
    </w:pPr>
  </w:style>
  <w:style w:type="paragraph" w:customStyle="1" w:styleId="iatafootref">
    <w:name w:val="iatafootref"/>
    <w:basedOn w:val="Normal"/>
    <w:pPr>
      <w:spacing w:before="100" w:beforeAutospacing="1" w:after="100" w:afterAutospacing="1"/>
    </w:pPr>
    <w:rPr>
      <w:sz w:val="16"/>
      <w:szCs w:val="16"/>
      <w:vertAlign w:val="superscript"/>
    </w:rPr>
  </w:style>
  <w:style w:type="paragraph" w:customStyle="1" w:styleId="iatatablefootnotes">
    <w:name w:val="iatatablefootnotes"/>
    <w:basedOn w:val="Normal"/>
    <w:pPr>
      <w:spacing w:before="100" w:beforeAutospacing="1" w:after="100" w:afterAutospacing="1"/>
      <w:ind w:left="300"/>
    </w:pPr>
  </w:style>
  <w:style w:type="paragraph" w:customStyle="1" w:styleId="iatatablefootnote">
    <w:name w:val="iatatablefootnote"/>
    <w:basedOn w:val="Normal"/>
    <w:pPr>
      <w:spacing w:before="150" w:after="100" w:afterAutospacing="1"/>
    </w:pPr>
    <w:rPr>
      <w:i/>
      <w:iCs/>
    </w:rPr>
  </w:style>
  <w:style w:type="paragraph" w:customStyle="1" w:styleId="iatapara">
    <w:name w:val="iatapara"/>
    <w:basedOn w:val="Normal"/>
    <w:pPr>
      <w:spacing w:after="90"/>
    </w:pPr>
  </w:style>
  <w:style w:type="paragraph" w:customStyle="1" w:styleId="iatasimplepara">
    <w:name w:val="iatasimplepara"/>
    <w:basedOn w:val="Normal"/>
    <w:pPr>
      <w:spacing w:after="45"/>
      <w:textAlignment w:val="center"/>
    </w:pPr>
  </w:style>
  <w:style w:type="paragraph" w:customStyle="1" w:styleId="iatanumberedpara">
    <w:name w:val="iatanumberedpara"/>
    <w:basedOn w:val="Normal"/>
    <w:pPr>
      <w:spacing w:before="150" w:after="75"/>
    </w:pPr>
  </w:style>
  <w:style w:type="paragraph" w:customStyle="1" w:styleId="iataparanumber">
    <w:name w:val="iataparanumber"/>
    <w:basedOn w:val="Normal"/>
    <w:pPr>
      <w:spacing w:before="100" w:beforeAutospacing="1" w:after="100" w:afterAutospacing="1"/>
    </w:pPr>
    <w:rPr>
      <w:b/>
      <w:bCs/>
    </w:rPr>
  </w:style>
  <w:style w:type="paragraph" w:customStyle="1" w:styleId="iatamarginpara">
    <w:name w:val="iatamarginpara"/>
    <w:basedOn w:val="Normal"/>
    <w:pPr>
      <w:spacing w:before="150" w:after="150"/>
      <w:ind w:left="-300"/>
    </w:pPr>
    <w:rPr>
      <w:b/>
      <w:bCs/>
      <w:i/>
      <w:iCs/>
      <w:sz w:val="19"/>
      <w:szCs w:val="19"/>
    </w:rPr>
  </w:style>
  <w:style w:type="paragraph" w:customStyle="1" w:styleId="iataacknowledgement">
    <w:name w:val="iataacknowledgement"/>
    <w:basedOn w:val="Normal"/>
    <w:pPr>
      <w:spacing w:before="600" w:after="100" w:afterAutospacing="1"/>
    </w:pPr>
  </w:style>
  <w:style w:type="paragraph" w:customStyle="1" w:styleId="iataappendix">
    <w:name w:val="iataappendix"/>
    <w:basedOn w:val="Normal"/>
    <w:pPr>
      <w:spacing w:before="100" w:beforeAutospacing="1" w:after="100" w:afterAutospacing="1"/>
    </w:pPr>
  </w:style>
  <w:style w:type="paragraph" w:customStyle="1" w:styleId="iatabibliography">
    <w:name w:val="iatabibliography"/>
    <w:basedOn w:val="Normal"/>
    <w:pPr>
      <w:spacing w:before="100" w:beforeAutospacing="1" w:after="100" w:afterAutospacing="1"/>
    </w:pPr>
  </w:style>
  <w:style w:type="paragraph" w:customStyle="1" w:styleId="iatabibliotitle">
    <w:name w:val="iatabibliotitle"/>
    <w:basedOn w:val="Normal"/>
    <w:pPr>
      <w:spacing w:before="225" w:after="100" w:afterAutospacing="1"/>
    </w:pPr>
    <w:rPr>
      <w:b/>
      <w:bCs/>
      <w:i/>
      <w:iCs/>
      <w:sz w:val="28"/>
      <w:szCs w:val="28"/>
    </w:rPr>
  </w:style>
  <w:style w:type="paragraph" w:customStyle="1" w:styleId="iataextracts">
    <w:name w:val="iataextracts"/>
    <w:basedOn w:val="Normal"/>
    <w:pPr>
      <w:pBdr>
        <w:top w:val="single" w:sz="6" w:space="4" w:color="auto"/>
        <w:left w:val="single" w:sz="6" w:space="4" w:color="auto"/>
        <w:bottom w:val="single" w:sz="6" w:space="4" w:color="auto"/>
        <w:right w:val="single" w:sz="6" w:space="4" w:color="auto"/>
      </w:pBdr>
      <w:spacing w:before="140" w:after="140"/>
      <w:ind w:left="1125"/>
    </w:pPr>
  </w:style>
  <w:style w:type="paragraph" w:customStyle="1" w:styleId="iataflysheet">
    <w:name w:val="iataflysheet"/>
    <w:basedOn w:val="Normal"/>
    <w:pPr>
      <w:spacing w:before="100" w:beforeAutospacing="1" w:after="100" w:afterAutospacing="1"/>
    </w:pPr>
  </w:style>
  <w:style w:type="paragraph" w:customStyle="1" w:styleId="iatahowtouse">
    <w:name w:val="iatahowtouse"/>
    <w:basedOn w:val="Normal"/>
    <w:pPr>
      <w:spacing w:before="100" w:beforeAutospacing="1" w:after="100" w:afterAutospacing="1"/>
    </w:pPr>
  </w:style>
  <w:style w:type="paragraph" w:customStyle="1" w:styleId="iataintro">
    <w:name w:val="iataintro"/>
    <w:basedOn w:val="Normal"/>
    <w:pPr>
      <w:spacing w:before="100" w:beforeAutospacing="1" w:after="100" w:afterAutospacing="1"/>
    </w:pPr>
  </w:style>
  <w:style w:type="paragraph" w:customStyle="1" w:styleId="iatapreface">
    <w:name w:val="iatapreface"/>
    <w:basedOn w:val="Normal"/>
    <w:pPr>
      <w:spacing w:before="100" w:beforeAutospacing="1" w:after="100" w:afterAutospacing="1"/>
    </w:pPr>
  </w:style>
  <w:style w:type="paragraph" w:customStyle="1" w:styleId="iatapublication">
    <w:name w:val="iatapublication"/>
    <w:basedOn w:val="Normal"/>
    <w:pPr>
      <w:spacing w:before="100" w:beforeAutospacing="1" w:after="100" w:afterAutospacing="1"/>
    </w:pPr>
    <w:rPr>
      <w:i/>
      <w:iCs/>
    </w:rPr>
  </w:style>
  <w:style w:type="paragraph" w:customStyle="1" w:styleId="iatatitlepage">
    <w:name w:val="iatatitlepage"/>
    <w:basedOn w:val="Normal"/>
    <w:pPr>
      <w:spacing w:before="100" w:beforeAutospacing="1" w:after="100" w:afterAutospacing="1"/>
    </w:pPr>
  </w:style>
  <w:style w:type="paragraph" w:customStyle="1" w:styleId="iataauthor">
    <w:name w:val="iataauthor"/>
    <w:basedOn w:val="Normal"/>
    <w:pPr>
      <w:spacing w:before="100" w:beforeAutospacing="1" w:after="100" w:afterAutospacing="1"/>
    </w:pPr>
  </w:style>
  <w:style w:type="paragraph" w:customStyle="1" w:styleId="iatacatalog">
    <w:name w:val="iatacatalog"/>
    <w:basedOn w:val="Normal"/>
    <w:pPr>
      <w:spacing w:before="100" w:beforeAutospacing="1" w:after="100" w:afterAutospacing="1"/>
    </w:pPr>
  </w:style>
  <w:style w:type="paragraph" w:customStyle="1" w:styleId="iatacite">
    <w:name w:val="iatacite"/>
    <w:basedOn w:val="Normal"/>
    <w:pPr>
      <w:spacing w:before="100" w:beforeAutospacing="1" w:after="100" w:afterAutospacing="1"/>
    </w:pPr>
    <w:rPr>
      <w:i/>
      <w:iCs/>
    </w:rPr>
  </w:style>
  <w:style w:type="paragraph" w:customStyle="1" w:styleId="iatacopyright">
    <w:name w:val="iatacopyright"/>
    <w:basedOn w:val="Normal"/>
    <w:pPr>
      <w:spacing w:before="100" w:beforeAutospacing="1" w:after="100" w:afterAutospacing="1"/>
    </w:pPr>
  </w:style>
  <w:style w:type="paragraph" w:customStyle="1" w:styleId="iatacopyrightgroup">
    <w:name w:val="iatacopyrightgroup"/>
    <w:basedOn w:val="Normal"/>
    <w:pPr>
      <w:spacing w:before="600" w:after="100" w:afterAutospacing="1"/>
    </w:pPr>
  </w:style>
  <w:style w:type="paragraph" w:customStyle="1" w:styleId="iatadate">
    <w:name w:val="iatadate"/>
    <w:basedOn w:val="Normal"/>
    <w:pPr>
      <w:spacing w:before="100" w:beforeAutospacing="1" w:after="100" w:afterAutospacing="1"/>
    </w:pPr>
  </w:style>
  <w:style w:type="paragraph" w:customStyle="1" w:styleId="iataexample">
    <w:name w:val="iataexample"/>
    <w:basedOn w:val="Normal"/>
    <w:pPr>
      <w:spacing w:before="150" w:after="100" w:afterAutospacing="1"/>
    </w:pPr>
    <w:rPr>
      <w:i/>
      <w:iCs/>
    </w:rPr>
  </w:style>
  <w:style w:type="paragraph" w:customStyle="1" w:styleId="iataexampleheading">
    <w:name w:val="iataexampleheading"/>
    <w:basedOn w:val="Normal"/>
    <w:pPr>
      <w:spacing w:before="100" w:beforeAutospacing="1" w:after="100" w:afterAutospacing="1"/>
    </w:pPr>
    <w:rPr>
      <w:b/>
      <w:bCs/>
      <w:sz w:val="36"/>
      <w:szCs w:val="36"/>
    </w:rPr>
  </w:style>
  <w:style w:type="paragraph" w:customStyle="1" w:styleId="iatafromdate">
    <w:name w:val="iatafromdate"/>
    <w:basedOn w:val="Normal"/>
    <w:pPr>
      <w:spacing w:before="100" w:beforeAutospacing="1" w:after="100" w:afterAutospacing="1"/>
    </w:pPr>
  </w:style>
  <w:style w:type="paragraph" w:customStyle="1" w:styleId="iataisbn">
    <w:name w:val="iataisbn"/>
    <w:basedOn w:val="Normal"/>
    <w:pPr>
      <w:spacing w:before="100" w:beforeAutospacing="1" w:after="100" w:afterAutospacing="1"/>
    </w:pPr>
  </w:style>
  <w:style w:type="paragraph" w:customStyle="1" w:styleId="iataissn">
    <w:name w:val="iataissn"/>
    <w:basedOn w:val="Normal"/>
    <w:pPr>
      <w:spacing w:before="100" w:beforeAutospacing="1" w:after="100" w:afterAutospacing="1"/>
    </w:pPr>
  </w:style>
  <w:style w:type="paragraph" w:customStyle="1" w:styleId="iatamodus">
    <w:name w:val="iatamodus"/>
    <w:basedOn w:val="Normal"/>
    <w:pPr>
      <w:spacing w:before="100" w:beforeAutospacing="1" w:after="100" w:afterAutospacing="1"/>
    </w:pPr>
  </w:style>
  <w:style w:type="paragraph" w:customStyle="1" w:styleId="iatapublisher">
    <w:name w:val="iatapublisher"/>
    <w:basedOn w:val="Normal"/>
    <w:pPr>
      <w:spacing w:before="100" w:beforeAutospacing="1" w:after="100" w:afterAutospacing="1"/>
    </w:pPr>
  </w:style>
  <w:style w:type="paragraph" w:customStyle="1" w:styleId="iataquote">
    <w:name w:val="iataquote"/>
    <w:basedOn w:val="Normal"/>
    <w:pPr>
      <w:spacing w:before="100" w:beforeAutospacing="1" w:after="100" w:afterAutospacing="1"/>
    </w:pPr>
  </w:style>
  <w:style w:type="paragraph" w:customStyle="1" w:styleId="iatasimpletext">
    <w:name w:val="iatasimpletext"/>
    <w:basedOn w:val="Normal"/>
    <w:pPr>
      <w:spacing w:before="100" w:beforeAutospacing="1" w:after="100" w:afterAutospacing="1"/>
    </w:pPr>
  </w:style>
  <w:style w:type="paragraph" w:customStyle="1" w:styleId="iatasource">
    <w:name w:val="iatasource"/>
    <w:basedOn w:val="Normal"/>
    <w:pPr>
      <w:spacing w:before="100" w:beforeAutospacing="1" w:after="100" w:afterAutospacing="1"/>
    </w:pPr>
    <w:rPr>
      <w:i/>
      <w:iCs/>
    </w:rPr>
  </w:style>
  <w:style w:type="paragraph" w:customStyle="1" w:styleId="iatasubtitle">
    <w:name w:val="iatasubtitle"/>
    <w:basedOn w:val="Normal"/>
    <w:pPr>
      <w:spacing w:before="100" w:beforeAutospacing="1" w:after="100" w:afterAutospacing="1"/>
    </w:pPr>
  </w:style>
  <w:style w:type="paragraph" w:customStyle="1" w:styleId="iatatitle">
    <w:name w:val="iatatitle"/>
    <w:basedOn w:val="Normal"/>
    <w:pPr>
      <w:spacing w:before="100" w:beforeAutospacing="1" w:after="100" w:afterAutospacing="1"/>
    </w:pPr>
  </w:style>
  <w:style w:type="paragraph" w:customStyle="1" w:styleId="iatatodate">
    <w:name w:val="iatatodate"/>
    <w:basedOn w:val="Normal"/>
    <w:pPr>
      <w:spacing w:before="100" w:beforeAutospacing="1" w:after="100" w:afterAutospacing="1"/>
    </w:pPr>
  </w:style>
  <w:style w:type="paragraph" w:customStyle="1" w:styleId="iatastep">
    <w:name w:val="iatastep"/>
    <w:basedOn w:val="Normal"/>
    <w:pPr>
      <w:spacing w:before="150" w:after="100" w:afterAutospacing="1"/>
    </w:pPr>
  </w:style>
  <w:style w:type="paragraph" w:customStyle="1" w:styleId="iatastepheading">
    <w:name w:val="iatastepheading"/>
    <w:basedOn w:val="Normal"/>
    <w:pPr>
      <w:spacing w:before="100" w:beforeAutospacing="1" w:after="100" w:afterAutospacing="1"/>
    </w:pPr>
    <w:rPr>
      <w:b/>
      <w:bCs/>
    </w:rPr>
  </w:style>
  <w:style w:type="paragraph" w:customStyle="1" w:styleId="iatasublevel1">
    <w:name w:val="iatasublevel1"/>
    <w:basedOn w:val="Normal"/>
    <w:pPr>
      <w:spacing w:before="150" w:after="100" w:afterAutospacing="1"/>
    </w:pPr>
  </w:style>
  <w:style w:type="paragraph" w:customStyle="1" w:styleId="iatasublevel1heading">
    <w:name w:val="iatasublevel1heading"/>
    <w:basedOn w:val="Normal"/>
    <w:pPr>
      <w:spacing w:before="100" w:beforeAutospacing="1" w:after="100" w:afterAutospacing="1"/>
    </w:pPr>
    <w:rPr>
      <w:b/>
      <w:bCs/>
      <w:sz w:val="28"/>
      <w:szCs w:val="28"/>
    </w:rPr>
  </w:style>
  <w:style w:type="paragraph" w:customStyle="1" w:styleId="iatasublevel1number">
    <w:name w:val="iatasublevel1number"/>
    <w:basedOn w:val="Normal"/>
    <w:pPr>
      <w:spacing w:before="100" w:beforeAutospacing="1" w:after="100" w:afterAutospacing="1"/>
      <w:ind w:left="-450"/>
    </w:pPr>
  </w:style>
  <w:style w:type="paragraph" w:customStyle="1" w:styleId="iataaddress">
    <w:name w:val="iataaddress"/>
    <w:basedOn w:val="Normal"/>
    <w:pPr>
      <w:spacing w:before="150" w:after="100" w:afterAutospacing="1"/>
    </w:pPr>
  </w:style>
  <w:style w:type="paragraph" w:customStyle="1" w:styleId="iatanameelement">
    <w:name w:val="iatanameelement"/>
    <w:basedOn w:val="Normal"/>
    <w:pPr>
      <w:spacing w:before="100" w:beforeAutospacing="1" w:after="100" w:afterAutospacing="1"/>
    </w:pPr>
  </w:style>
  <w:style w:type="paragraph" w:customStyle="1" w:styleId="iatanameline">
    <w:name w:val="iatanameline"/>
    <w:basedOn w:val="Normal"/>
    <w:pPr>
      <w:spacing w:before="100" w:beforeAutospacing="1" w:after="100" w:afterAutospacing="1"/>
    </w:pPr>
  </w:style>
  <w:style w:type="paragraph" w:customStyle="1" w:styleId="iataorganisationname">
    <w:name w:val="iataorganisationname"/>
    <w:basedOn w:val="Normal"/>
    <w:pPr>
      <w:spacing w:before="100" w:beforeAutospacing="1" w:after="100" w:afterAutospacing="1"/>
    </w:pPr>
  </w:style>
  <w:style w:type="paragraph" w:customStyle="1" w:styleId="iatafreetextaddress">
    <w:name w:val="iatafreetextaddress"/>
    <w:basedOn w:val="Normal"/>
    <w:pPr>
      <w:spacing w:before="100" w:beforeAutospacing="1" w:after="100" w:afterAutospacing="1"/>
    </w:pPr>
  </w:style>
  <w:style w:type="paragraph" w:customStyle="1" w:styleId="iataaddressline">
    <w:name w:val="iataaddressline"/>
    <w:basedOn w:val="Normal"/>
    <w:pPr>
      <w:spacing w:before="100" w:beforeAutospacing="1" w:after="100" w:afterAutospacing="1"/>
    </w:pPr>
  </w:style>
  <w:style w:type="paragraph" w:customStyle="1" w:styleId="iatacontact">
    <w:name w:val="iatacontact"/>
    <w:basedOn w:val="Normal"/>
    <w:pPr>
      <w:spacing w:before="100" w:beforeAutospacing="1" w:after="100" w:afterAutospacing="1"/>
    </w:pPr>
  </w:style>
  <w:style w:type="paragraph" w:customStyle="1" w:styleId="iatacontactline">
    <w:name w:val="iatacontactline"/>
    <w:basedOn w:val="Normal"/>
    <w:pPr>
      <w:spacing w:before="100" w:beforeAutospacing="1" w:after="100" w:afterAutospacing="1"/>
    </w:pPr>
  </w:style>
  <w:style w:type="paragraph" w:customStyle="1" w:styleId="iatalinkto">
    <w:name w:val="iatalinkto"/>
    <w:basedOn w:val="Normal"/>
    <w:pPr>
      <w:spacing w:before="100" w:beforeAutospacing="1" w:after="100" w:afterAutospacing="1"/>
    </w:pPr>
  </w:style>
  <w:style w:type="paragraph" w:customStyle="1" w:styleId="iatasolidline">
    <w:name w:val="iatasolidline"/>
    <w:basedOn w:val="Normal"/>
    <w:pPr>
      <w:pBdr>
        <w:bottom w:val="single" w:sz="6" w:space="0" w:color="auto"/>
      </w:pBdr>
      <w:spacing w:before="100" w:beforeAutospacing="1" w:after="100" w:afterAutospacing="1"/>
    </w:pPr>
  </w:style>
  <w:style w:type="paragraph" w:customStyle="1" w:styleId="iatadottedline">
    <w:name w:val="iatadottedline"/>
    <w:basedOn w:val="Normal"/>
    <w:pPr>
      <w:pBdr>
        <w:bottom w:val="dotted" w:sz="6" w:space="0" w:color="auto"/>
      </w:pBdr>
      <w:spacing w:before="100" w:beforeAutospacing="1" w:after="100" w:afterAutospacing="1"/>
    </w:pPr>
  </w:style>
  <w:style w:type="paragraph" w:customStyle="1" w:styleId="iatadoubleline">
    <w:name w:val="iatadoubleline"/>
    <w:basedOn w:val="Normal"/>
    <w:pPr>
      <w:pBdr>
        <w:bottom w:val="double" w:sz="6" w:space="0" w:color="auto"/>
      </w:pBdr>
      <w:spacing w:before="100" w:beforeAutospacing="1" w:after="100" w:afterAutospacing="1"/>
    </w:pPr>
  </w:style>
  <w:style w:type="paragraph" w:customStyle="1" w:styleId="iatalinenarrower">
    <w:name w:val="iatalinenarrower"/>
    <w:basedOn w:val="Normal"/>
    <w:pPr>
      <w:spacing w:before="100" w:beforeAutospacing="1" w:after="100" w:afterAutospacing="1"/>
    </w:pPr>
  </w:style>
  <w:style w:type="paragraph" w:customStyle="1" w:styleId="iatalinenarrow">
    <w:name w:val="iatalinenarrow"/>
    <w:basedOn w:val="Normal"/>
    <w:pPr>
      <w:spacing w:before="100" w:beforeAutospacing="1" w:after="100" w:afterAutospacing="1"/>
    </w:pPr>
  </w:style>
  <w:style w:type="paragraph" w:customStyle="1" w:styleId="iatalinemedium">
    <w:name w:val="iatalinemedium"/>
    <w:basedOn w:val="Normal"/>
    <w:pPr>
      <w:spacing w:before="100" w:beforeAutospacing="1" w:after="100" w:afterAutospacing="1"/>
    </w:pPr>
  </w:style>
  <w:style w:type="paragraph" w:customStyle="1" w:styleId="iatalinewide">
    <w:name w:val="iatalinewide"/>
    <w:basedOn w:val="Normal"/>
    <w:pPr>
      <w:spacing w:before="100" w:beforeAutospacing="1" w:after="100" w:afterAutospacing="1"/>
    </w:pPr>
  </w:style>
  <w:style w:type="paragraph" w:customStyle="1" w:styleId="iatalinefull">
    <w:name w:val="iatalinefull"/>
    <w:basedOn w:val="Normal"/>
    <w:pPr>
      <w:spacing w:before="100" w:beforeAutospacing="1" w:after="100" w:afterAutospacing="1"/>
    </w:pPr>
  </w:style>
  <w:style w:type="paragraph" w:customStyle="1" w:styleId="iatabodypi">
    <w:name w:val="iatabodypi"/>
    <w:basedOn w:val="Normal"/>
    <w:pPr>
      <w:shd w:val="clear" w:color="auto" w:fill="FFFF99"/>
      <w:spacing w:before="300" w:after="750"/>
      <w:ind w:left="600" w:right="150"/>
    </w:pPr>
    <w:rPr>
      <w:rFonts w:ascii="Arial" w:hAnsi="Arial" w:cs="Arial"/>
      <w:color w:val="022A4C"/>
      <w:sz w:val="18"/>
      <w:szCs w:val="18"/>
    </w:rPr>
  </w:style>
  <w:style w:type="paragraph" w:customStyle="1" w:styleId="iatah1pi">
    <w:name w:val="iatah1pi"/>
    <w:basedOn w:val="Normal"/>
    <w:pPr>
      <w:pBdr>
        <w:top w:val="single" w:sz="12" w:space="4" w:color="000000"/>
        <w:bottom w:val="single" w:sz="12" w:space="4" w:color="000000"/>
      </w:pBdr>
      <w:spacing w:before="100" w:beforeAutospacing="1"/>
    </w:pPr>
    <w:rPr>
      <w:sz w:val="36"/>
      <w:szCs w:val="36"/>
    </w:rPr>
  </w:style>
  <w:style w:type="paragraph" w:customStyle="1" w:styleId="iatavariationspi">
    <w:name w:val="iatavariationspi"/>
    <w:basedOn w:val="Normal"/>
    <w:pPr>
      <w:pBdr>
        <w:top w:val="single" w:sz="6" w:space="4" w:color="000000"/>
        <w:bottom w:val="single" w:sz="6" w:space="4" w:color="000000"/>
      </w:pBdr>
      <w:spacing w:after="100" w:afterAutospacing="1"/>
    </w:pPr>
  </w:style>
  <w:style w:type="paragraph" w:customStyle="1" w:styleId="iataparapi">
    <w:name w:val="iataparapi"/>
    <w:basedOn w:val="Normal"/>
    <w:pPr>
      <w:spacing w:before="150" w:after="75"/>
    </w:pPr>
  </w:style>
  <w:style w:type="paragraph" w:customStyle="1" w:styleId="iatalogopi">
    <w:name w:val="iatalogopi"/>
    <w:basedOn w:val="Normal"/>
    <w:pPr>
      <w:spacing w:before="100" w:beforeAutospacing="1" w:after="100" w:afterAutospacing="1"/>
    </w:pPr>
    <w:rPr>
      <w:rFonts w:ascii="IATAfont" w:hAnsi="IATAfont"/>
      <w:color w:val="000000"/>
      <w:sz w:val="90"/>
      <w:szCs w:val="90"/>
    </w:rPr>
  </w:style>
  <w:style w:type="paragraph" w:customStyle="1" w:styleId="iatapiclassnamefont">
    <w:name w:val="iatapiclassnamefont"/>
    <w:basedOn w:val="Normal"/>
    <w:pPr>
      <w:spacing w:before="100" w:beforeAutospacing="1" w:after="100" w:afterAutospacing="1"/>
    </w:pPr>
    <w:rPr>
      <w:sz w:val="34"/>
      <w:szCs w:val="34"/>
    </w:rPr>
  </w:style>
  <w:style w:type="paragraph" w:customStyle="1" w:styleId="iataresolution">
    <w:name w:val="iataresolution"/>
    <w:basedOn w:val="Normal"/>
    <w:pPr>
      <w:spacing w:before="100" w:beforeAutospacing="1" w:after="100" w:afterAutospacing="1"/>
    </w:pPr>
  </w:style>
  <w:style w:type="paragraph" w:customStyle="1" w:styleId="iataresolutionversion">
    <w:name w:val="iataresolutionversion"/>
    <w:basedOn w:val="Normal"/>
    <w:pPr>
      <w:spacing w:before="100" w:beforeAutospacing="1" w:after="100" w:afterAutospacing="1"/>
    </w:pPr>
  </w:style>
  <w:style w:type="paragraph" w:customStyle="1" w:styleId="iataresorpversionscell">
    <w:name w:val="iataresorpversionscell"/>
    <w:basedOn w:val="Normal"/>
    <w:pPr>
      <w:spacing w:before="100" w:beforeAutospacing="1" w:after="100" w:afterAutospacing="1"/>
      <w:textAlignment w:val="top"/>
    </w:pPr>
  </w:style>
  <w:style w:type="paragraph" w:customStyle="1" w:styleId="iataconferenceaccronym">
    <w:name w:val="iataconferenceaccronym"/>
    <w:basedOn w:val="Normal"/>
    <w:pPr>
      <w:spacing w:before="100" w:beforeAutospacing="1" w:after="100" w:afterAutospacing="1"/>
    </w:pPr>
  </w:style>
  <w:style w:type="paragraph" w:customStyle="1" w:styleId="iataarea">
    <w:name w:val="iataarea"/>
    <w:basedOn w:val="Normal"/>
    <w:pPr>
      <w:spacing w:before="100" w:beforeAutospacing="1" w:after="100" w:afterAutospacing="1"/>
    </w:pPr>
  </w:style>
  <w:style w:type="paragraph" w:customStyle="1" w:styleId="iataconfvotenumber">
    <w:name w:val="iataconfvotenumber"/>
    <w:basedOn w:val="Normal"/>
    <w:pPr>
      <w:spacing w:before="100" w:beforeAutospacing="1" w:after="100" w:afterAutospacing="1"/>
    </w:pPr>
  </w:style>
  <w:style w:type="paragraph" w:customStyle="1" w:styleId="iatacountryexceptions">
    <w:name w:val="iatacountryexceptions"/>
    <w:basedOn w:val="Normal"/>
    <w:pPr>
      <w:spacing w:before="100" w:beforeAutospacing="1" w:after="100" w:afterAutospacing="1"/>
    </w:pPr>
  </w:style>
  <w:style w:type="paragraph" w:customStyle="1" w:styleId="iatacountryname">
    <w:name w:val="iatacountryname"/>
    <w:basedOn w:val="Normal"/>
    <w:pPr>
      <w:spacing w:before="100" w:beforeAutospacing="1" w:after="100" w:afterAutospacing="1"/>
    </w:pPr>
  </w:style>
  <w:style w:type="paragraph" w:customStyle="1" w:styleId="iataexpiry">
    <w:name w:val="iataexpiry"/>
    <w:basedOn w:val="Normal"/>
    <w:pPr>
      <w:spacing w:before="100" w:beforeAutospacing="1" w:after="100" w:afterAutospacing="1"/>
    </w:pPr>
  </w:style>
  <w:style w:type="paragraph" w:customStyle="1" w:styleId="iatatype">
    <w:name w:val="iatatype"/>
    <w:basedOn w:val="Normal"/>
    <w:pPr>
      <w:spacing w:before="100" w:beforeAutospacing="1" w:after="100" w:afterAutospacing="1"/>
    </w:pPr>
  </w:style>
  <w:style w:type="paragraph" w:customStyle="1" w:styleId="iataalternatetype">
    <w:name w:val="iataalternatetype"/>
    <w:basedOn w:val="Normal"/>
    <w:pPr>
      <w:spacing w:before="100" w:beforeAutospacing="1" w:after="100" w:afterAutospacing="1"/>
    </w:pPr>
  </w:style>
  <w:style w:type="paragraph" w:customStyle="1" w:styleId="iataappendixheading">
    <w:name w:val="iataappendixheading"/>
    <w:basedOn w:val="Normal"/>
    <w:pPr>
      <w:spacing w:before="100" w:beforeAutospacing="1" w:after="140"/>
    </w:pPr>
    <w:rPr>
      <w:b/>
      <w:bCs/>
      <w:sz w:val="36"/>
      <w:szCs w:val="36"/>
    </w:rPr>
  </w:style>
  <w:style w:type="paragraph" w:customStyle="1" w:styleId="iataresolutionheading">
    <w:name w:val="iataresolutionheading"/>
    <w:basedOn w:val="Normal"/>
    <w:pPr>
      <w:spacing w:before="100" w:beforeAutospacing="1" w:after="140"/>
    </w:pPr>
    <w:rPr>
      <w:b/>
      <w:bCs/>
      <w:sz w:val="36"/>
      <w:szCs w:val="36"/>
    </w:rPr>
  </w:style>
  <w:style w:type="paragraph" w:customStyle="1" w:styleId="iataresointroduction">
    <w:name w:val="iataresointroduction"/>
    <w:basedOn w:val="Normal"/>
    <w:pPr>
      <w:spacing w:before="180" w:after="100" w:afterAutospacing="1"/>
    </w:pPr>
  </w:style>
  <w:style w:type="paragraph" w:customStyle="1" w:styleId="iatarecommendedpracticeheading">
    <w:name w:val="iatarecommendedpracticeheading"/>
    <w:basedOn w:val="Normal"/>
    <w:pPr>
      <w:spacing w:before="100" w:beforeAutospacing="1" w:after="140"/>
    </w:pPr>
    <w:rPr>
      <w:b/>
      <w:bCs/>
      <w:sz w:val="36"/>
      <w:szCs w:val="36"/>
    </w:rPr>
  </w:style>
  <w:style w:type="paragraph" w:customStyle="1" w:styleId="iatarecommendedpracticeversion">
    <w:name w:val="iatarecommendedpracticeversion"/>
    <w:basedOn w:val="Normal"/>
    <w:pPr>
      <w:spacing w:before="100" w:beforeAutospacing="1" w:after="100" w:afterAutospacing="1"/>
    </w:pPr>
  </w:style>
  <w:style w:type="paragraph" w:customStyle="1" w:styleId="iatagovernmentreservations">
    <w:name w:val="iatagovernmentreservations"/>
    <w:basedOn w:val="Normal"/>
    <w:pPr>
      <w:spacing w:before="100" w:beforeAutospacing="1" w:after="100" w:afterAutospacing="1"/>
    </w:pPr>
    <w:rPr>
      <w:i/>
      <w:iCs/>
    </w:rPr>
  </w:style>
  <w:style w:type="paragraph" w:customStyle="1" w:styleId="iatagovernmentreservationsh3">
    <w:name w:val="iatagovernmentreservationsh3"/>
    <w:basedOn w:val="Normal"/>
    <w:pPr>
      <w:spacing w:before="100" w:beforeAutospacing="1" w:after="100" w:afterAutospacing="1"/>
    </w:pPr>
    <w:rPr>
      <w:sz w:val="32"/>
      <w:szCs w:val="32"/>
    </w:rPr>
  </w:style>
  <w:style w:type="paragraph" w:customStyle="1" w:styleId="iatagovernmentreservationheading">
    <w:name w:val="iatagovernmentreservationheading"/>
    <w:basedOn w:val="Normal"/>
    <w:pPr>
      <w:spacing w:before="100" w:beforeAutospacing="1" w:after="100" w:afterAutospacing="1"/>
    </w:pPr>
    <w:rPr>
      <w:sz w:val="30"/>
      <w:szCs w:val="30"/>
    </w:rPr>
  </w:style>
  <w:style w:type="paragraph" w:customStyle="1" w:styleId="iatadisclaimerpage">
    <w:name w:val="iatadisclaimerpage"/>
    <w:basedOn w:val="Normal"/>
    <w:pPr>
      <w:spacing w:before="100" w:beforeAutospacing="1" w:after="100" w:afterAutospacing="1"/>
    </w:pPr>
  </w:style>
  <w:style w:type="paragraph" w:customStyle="1" w:styleId="iatadisclaimer">
    <w:name w:val="iatadisclaimer"/>
    <w:basedOn w:val="Normal"/>
    <w:pPr>
      <w:pBdr>
        <w:top w:val="single" w:sz="6" w:space="9" w:color="000000"/>
        <w:left w:val="single" w:sz="6" w:space="9" w:color="000000"/>
        <w:bottom w:val="single" w:sz="6" w:space="9" w:color="000000"/>
        <w:right w:val="single" w:sz="6" w:space="9" w:color="000000"/>
      </w:pBdr>
      <w:spacing w:before="975" w:after="100" w:afterAutospacing="1"/>
      <w:ind w:left="2520" w:right="2520"/>
      <w:jc w:val="center"/>
    </w:pPr>
  </w:style>
  <w:style w:type="paragraph" w:customStyle="1" w:styleId="iatadisclaimerheading">
    <w:name w:val="iatadisclaimerheading"/>
    <w:basedOn w:val="Normal"/>
    <w:pPr>
      <w:spacing w:before="100" w:beforeAutospacing="1" w:after="100" w:afterAutospacing="1"/>
    </w:pPr>
    <w:rPr>
      <w:b/>
      <w:bCs/>
    </w:rPr>
  </w:style>
  <w:style w:type="paragraph" w:customStyle="1" w:styleId="iataitdiheading">
    <w:name w:val="iataitdiheading"/>
    <w:basedOn w:val="Normal"/>
    <w:pPr>
      <w:spacing w:before="120" w:after="100" w:afterAutospacing="1"/>
    </w:pPr>
    <w:rPr>
      <w:b/>
      <w:bCs/>
      <w:sz w:val="30"/>
      <w:szCs w:val="30"/>
    </w:rPr>
  </w:style>
  <w:style w:type="paragraph" w:customStyle="1" w:styleId="iatamodulesummaryheading">
    <w:name w:val="iatamodulesummaryheading"/>
    <w:basedOn w:val="Normal"/>
    <w:pPr>
      <w:spacing w:before="100" w:beforeAutospacing="1" w:after="100" w:afterAutospacing="1"/>
    </w:pPr>
    <w:rPr>
      <w:b/>
      <w:bCs/>
      <w:sz w:val="34"/>
      <w:szCs w:val="34"/>
    </w:rPr>
  </w:style>
  <w:style w:type="paragraph" w:customStyle="1" w:styleId="iatalessonsummaryheading">
    <w:name w:val="iatalessonsummaryheading"/>
    <w:basedOn w:val="Normal"/>
    <w:pPr>
      <w:spacing w:before="100" w:beforeAutospacing="1" w:after="100" w:afterAutospacing="1"/>
    </w:pPr>
    <w:rPr>
      <w:b/>
      <w:bCs/>
      <w:sz w:val="32"/>
      <w:szCs w:val="32"/>
    </w:rPr>
  </w:style>
  <w:style w:type="paragraph" w:customStyle="1" w:styleId="iatakeylearningpoint">
    <w:name w:val="iatakeylearningpoint"/>
    <w:basedOn w:val="Normal"/>
    <w:pPr>
      <w:spacing w:before="100" w:beforeAutospacing="1" w:after="120"/>
    </w:pPr>
  </w:style>
  <w:style w:type="paragraph" w:customStyle="1" w:styleId="iatamodulesummary">
    <w:name w:val="iatamodulesummary"/>
    <w:basedOn w:val="Normal"/>
    <w:pPr>
      <w:spacing w:before="180" w:after="100" w:afterAutospacing="1"/>
    </w:pPr>
  </w:style>
  <w:style w:type="paragraph" w:customStyle="1" w:styleId="iatalessonsummary">
    <w:name w:val="iatalessonsummary"/>
    <w:basedOn w:val="Normal"/>
    <w:pPr>
      <w:spacing w:before="180" w:after="100" w:afterAutospacing="1"/>
    </w:pPr>
  </w:style>
  <w:style w:type="paragraph" w:customStyle="1" w:styleId="iatainterview">
    <w:name w:val="iatainterview"/>
    <w:basedOn w:val="Normal"/>
    <w:pPr>
      <w:spacing w:before="180" w:after="100" w:afterAutospacing="1"/>
    </w:pPr>
  </w:style>
  <w:style w:type="paragraph" w:customStyle="1" w:styleId="iataanswerkey">
    <w:name w:val="iataanswerkey"/>
    <w:basedOn w:val="Normal"/>
    <w:pPr>
      <w:spacing w:before="100" w:beforeAutospacing="1" w:after="180"/>
    </w:pPr>
  </w:style>
  <w:style w:type="paragraph" w:customStyle="1" w:styleId="iataapplyyourlearning">
    <w:name w:val="iataapplyyourlearning"/>
    <w:basedOn w:val="Normal"/>
    <w:pPr>
      <w:spacing w:before="90" w:after="90"/>
    </w:pPr>
  </w:style>
  <w:style w:type="paragraph" w:customStyle="1" w:styleId="iatatryactivity">
    <w:name w:val="iatatryactivity"/>
    <w:basedOn w:val="Normal"/>
    <w:pPr>
      <w:spacing w:before="100" w:beforeAutospacing="1" w:after="100" w:afterAutospacing="1"/>
    </w:pPr>
  </w:style>
  <w:style w:type="paragraph" w:customStyle="1" w:styleId="iatadidyouknow">
    <w:name w:val="iatadidyouknow"/>
    <w:basedOn w:val="Normal"/>
    <w:pPr>
      <w:spacing w:before="100" w:beforeAutospacing="1" w:after="100" w:afterAutospacing="1"/>
    </w:pPr>
  </w:style>
  <w:style w:type="paragraph" w:customStyle="1" w:styleId="iatainputcheckbox">
    <w:name w:val="iatainputcheckbox"/>
    <w:basedOn w:val="Normal"/>
    <w:pPr>
      <w:textAlignment w:val="center"/>
    </w:pPr>
  </w:style>
  <w:style w:type="paragraph" w:customStyle="1" w:styleId="iatainputtext">
    <w:name w:val="iatainputtext"/>
    <w:basedOn w:val="Normal"/>
    <w:pPr>
      <w:textAlignment w:val="center"/>
    </w:pPr>
  </w:style>
  <w:style w:type="paragraph" w:customStyle="1" w:styleId="iataassessmenttool">
    <w:name w:val="iataassessmenttool"/>
    <w:basedOn w:val="Normal"/>
    <w:pPr>
      <w:spacing w:before="120" w:after="100" w:afterAutospacing="1"/>
    </w:pPr>
  </w:style>
  <w:style w:type="paragraph" w:customStyle="1" w:styleId="iataatheading">
    <w:name w:val="iataatheading"/>
    <w:basedOn w:val="Normal"/>
    <w:pPr>
      <w:spacing w:before="100" w:beforeAutospacing="1" w:after="45"/>
    </w:pPr>
    <w:rPr>
      <w:b/>
      <w:bCs/>
      <w:sz w:val="30"/>
      <w:szCs w:val="30"/>
    </w:rPr>
  </w:style>
  <w:style w:type="paragraph" w:customStyle="1" w:styleId="iataatgroup">
    <w:name w:val="iataatgroup"/>
    <w:basedOn w:val="Normal"/>
    <w:pPr>
      <w:spacing w:before="120" w:after="100" w:afterAutospacing="1"/>
    </w:pPr>
  </w:style>
  <w:style w:type="paragraph" w:customStyle="1" w:styleId="iataatgroupheading">
    <w:name w:val="iataatgroupheading"/>
    <w:basedOn w:val="Normal"/>
    <w:pPr>
      <w:spacing w:before="100" w:beforeAutospacing="1" w:after="45"/>
    </w:pPr>
    <w:rPr>
      <w:b/>
      <w:bCs/>
    </w:rPr>
  </w:style>
  <w:style w:type="paragraph" w:customStyle="1" w:styleId="iataatgrouppara">
    <w:name w:val="iataatgrouppara"/>
    <w:basedOn w:val="Normal"/>
    <w:pPr>
      <w:spacing w:before="150" w:after="75"/>
    </w:pPr>
  </w:style>
  <w:style w:type="paragraph" w:customStyle="1" w:styleId="iataaaheading">
    <w:name w:val="iataaaheading"/>
    <w:basedOn w:val="Normal"/>
    <w:pPr>
      <w:spacing w:before="100" w:beforeAutospacing="1" w:after="45"/>
    </w:pPr>
    <w:rPr>
      <w:b/>
      <w:bCs/>
      <w:sz w:val="30"/>
      <w:szCs w:val="30"/>
    </w:rPr>
  </w:style>
  <w:style w:type="paragraph" w:customStyle="1" w:styleId="ism-aa-table">
    <w:name w:val="ism-aa-table"/>
    <w:basedOn w:val="Normal"/>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ism-aa-table-td">
    <w:name w:val="ism-aa-table-td"/>
    <w:basedOn w:val="Normal"/>
    <w:pPr>
      <w:pBdr>
        <w:bottom w:val="single" w:sz="6" w:space="0" w:color="000000"/>
      </w:pBdr>
      <w:spacing w:before="100" w:beforeAutospacing="1" w:after="100" w:afterAutospacing="1"/>
      <w:textAlignment w:val="center"/>
    </w:pPr>
  </w:style>
  <w:style w:type="paragraph" w:customStyle="1" w:styleId="ism-aa-table-th">
    <w:name w:val="ism-aa-table-th"/>
    <w:basedOn w:val="Normal"/>
    <w:pPr>
      <w:pBdr>
        <w:bottom w:val="single" w:sz="6" w:space="0" w:color="000000"/>
      </w:pBdr>
      <w:shd w:val="clear" w:color="auto" w:fill="EFEFEF"/>
      <w:textAlignment w:val="center"/>
    </w:pPr>
  </w:style>
  <w:style w:type="paragraph" w:customStyle="1" w:styleId="ism-aa-table-th2">
    <w:name w:val="ism-aa-table-th2"/>
    <w:basedOn w:val="Normal"/>
    <w:pPr>
      <w:shd w:val="clear" w:color="auto" w:fill="EFEFEF"/>
      <w:textAlignment w:val="center"/>
    </w:pPr>
  </w:style>
  <w:style w:type="paragraph" w:customStyle="1" w:styleId="iatacheckbox">
    <w:name w:val="iatacheckbox"/>
    <w:basedOn w:val="Normal"/>
    <w:pPr>
      <w:spacing w:before="100" w:beforeAutospacing="1" w:after="100" w:afterAutospacing="1"/>
    </w:pPr>
  </w:style>
  <w:style w:type="paragraph" w:customStyle="1" w:styleId="iataaacheckbox">
    <w:name w:val="iataaacheckbox"/>
    <w:basedOn w:val="Normal"/>
    <w:pPr>
      <w:spacing w:before="100" w:beforeAutospacing="1" w:after="100" w:afterAutospacing="1"/>
    </w:pPr>
  </w:style>
  <w:style w:type="paragraph" w:customStyle="1" w:styleId="iataaacheckbox2">
    <w:name w:val="iataaacheckbox2"/>
    <w:basedOn w:val="Normal"/>
    <w:pPr>
      <w:spacing w:before="100" w:beforeAutospacing="1" w:after="100" w:afterAutospacing="1"/>
      <w:ind w:left="240"/>
    </w:pPr>
  </w:style>
  <w:style w:type="paragraph" w:customStyle="1" w:styleId="ism-ic-table">
    <w:name w:val="ism-ic-table"/>
    <w:basedOn w:val="Normal"/>
    <w:pPr>
      <w:pBdr>
        <w:top w:val="single" w:sz="12" w:space="0" w:color="000000"/>
        <w:left w:val="single" w:sz="12" w:space="0" w:color="000000"/>
        <w:bottom w:val="single" w:sz="12" w:space="0" w:color="000000"/>
        <w:right w:val="single" w:sz="12" w:space="0" w:color="000000"/>
      </w:pBdr>
      <w:spacing w:before="100" w:beforeAutospacing="1" w:after="100" w:afterAutospacing="1"/>
    </w:pPr>
  </w:style>
  <w:style w:type="paragraph" w:customStyle="1" w:styleId="ism-ic-table-isarp">
    <w:name w:val="ism-ic-table-isarp"/>
    <w:basedOn w:val="Normal"/>
    <w:pPr>
      <w:pBdr>
        <w:top w:val="single" w:sz="12" w:space="0" w:color="000000"/>
        <w:left w:val="single" w:sz="12" w:space="0" w:color="000000"/>
        <w:bottom w:val="single" w:sz="12" w:space="0" w:color="000000"/>
        <w:right w:val="single" w:sz="12" w:space="0" w:color="000000"/>
      </w:pBdr>
      <w:spacing w:before="100" w:beforeAutospacing="1" w:after="100" w:afterAutospacing="1"/>
    </w:pPr>
  </w:style>
  <w:style w:type="paragraph" w:customStyle="1" w:styleId="ism-ic-table-td">
    <w:name w:val="ism-ic-table-td"/>
    <w:basedOn w:val="Normal"/>
    <w:pPr>
      <w:pBdr>
        <w:bottom w:val="single" w:sz="6" w:space="3" w:color="000000"/>
      </w:pBdr>
      <w:spacing w:before="100" w:beforeAutospacing="1" w:after="100" w:afterAutospacing="1"/>
    </w:pPr>
  </w:style>
  <w:style w:type="paragraph" w:customStyle="1" w:styleId="ism-ic-table-td-paranum">
    <w:name w:val="ism-ic-table-td-paranum"/>
    <w:basedOn w:val="Normal"/>
    <w:pPr>
      <w:pBdr>
        <w:bottom w:val="single" w:sz="6" w:space="0" w:color="000000"/>
      </w:pBdr>
      <w:shd w:val="clear" w:color="auto" w:fill="CCCCCC"/>
      <w:spacing w:after="100" w:afterAutospacing="1"/>
    </w:pPr>
    <w:rPr>
      <w:sz w:val="30"/>
      <w:szCs w:val="30"/>
    </w:rPr>
  </w:style>
  <w:style w:type="paragraph" w:customStyle="1" w:styleId="ism-ic-table-th">
    <w:name w:val="ism-ic-table-th"/>
    <w:basedOn w:val="Normal"/>
    <w:pPr>
      <w:pBdr>
        <w:bottom w:val="single" w:sz="6" w:space="0" w:color="000000"/>
      </w:pBdr>
      <w:shd w:val="clear" w:color="auto" w:fill="EFEFEF"/>
      <w:textAlignment w:val="center"/>
    </w:pPr>
  </w:style>
  <w:style w:type="paragraph" w:customStyle="1" w:styleId="ism-ic-table-th2">
    <w:name w:val="ism-ic-table-th2"/>
    <w:basedOn w:val="Normal"/>
    <w:pPr>
      <w:shd w:val="clear" w:color="auto" w:fill="EFEFEF"/>
      <w:textAlignment w:val="center"/>
    </w:pPr>
  </w:style>
  <w:style w:type="paragraph" w:customStyle="1" w:styleId="iatasection1heading">
    <w:name w:val="iatasection1heading"/>
    <w:basedOn w:val="Normal"/>
    <w:pPr>
      <w:spacing w:before="30" w:after="30"/>
    </w:pPr>
    <w:rPr>
      <w:sz w:val="35"/>
      <w:szCs w:val="35"/>
    </w:rPr>
  </w:style>
  <w:style w:type="paragraph" w:customStyle="1" w:styleId="iatasection2heading">
    <w:name w:val="iatasection2heading"/>
    <w:basedOn w:val="Normal"/>
    <w:pPr>
      <w:spacing w:before="30" w:after="30"/>
    </w:pPr>
    <w:rPr>
      <w:sz w:val="33"/>
      <w:szCs w:val="33"/>
    </w:rPr>
  </w:style>
  <w:style w:type="paragraph" w:customStyle="1" w:styleId="iataheading">
    <w:name w:val="iataheading"/>
    <w:basedOn w:val="Normal"/>
    <w:pPr>
      <w:spacing w:before="90" w:after="45"/>
    </w:pPr>
    <w:rPr>
      <w:b/>
      <w:bCs/>
      <w:sz w:val="30"/>
      <w:szCs w:val="30"/>
    </w:rPr>
  </w:style>
  <w:style w:type="paragraph" w:customStyle="1" w:styleId="iatasection1headingchecklist">
    <w:name w:val="iatasection1headingchecklist"/>
    <w:basedOn w:val="Normal"/>
    <w:pPr>
      <w:shd w:val="clear" w:color="auto" w:fill="CCCCCC"/>
      <w:ind w:left="-30" w:right="-30"/>
    </w:pPr>
    <w:rPr>
      <w:color w:val="000000"/>
      <w:sz w:val="38"/>
      <w:szCs w:val="38"/>
    </w:rPr>
  </w:style>
  <w:style w:type="paragraph" w:customStyle="1" w:styleId="iatasection2headingchecklist">
    <w:name w:val="iatasection2headingchecklist"/>
    <w:basedOn w:val="Normal"/>
    <w:pPr>
      <w:shd w:val="clear" w:color="auto" w:fill="1E32FA"/>
      <w:spacing w:before="100" w:beforeAutospacing="1"/>
    </w:pPr>
    <w:rPr>
      <w:color w:val="FFFFFF"/>
      <w:sz w:val="33"/>
      <w:szCs w:val="33"/>
    </w:rPr>
  </w:style>
  <w:style w:type="paragraph" w:customStyle="1" w:styleId="iatasection3headingchecklist">
    <w:name w:val="iatasection3headingchecklist"/>
    <w:basedOn w:val="Normal"/>
    <w:pPr>
      <w:shd w:val="clear" w:color="auto" w:fill="FAC832"/>
      <w:spacing w:before="100" w:beforeAutospacing="1" w:after="150"/>
    </w:pPr>
    <w:rPr>
      <w:color w:val="000000"/>
      <w:sz w:val="31"/>
      <w:szCs w:val="31"/>
    </w:rPr>
  </w:style>
  <w:style w:type="paragraph" w:customStyle="1" w:styleId="iatasection4checklist">
    <w:name w:val="iatasection4checklist"/>
    <w:basedOn w:val="Normal"/>
  </w:style>
  <w:style w:type="paragraph" w:customStyle="1" w:styleId="iatalist-disc">
    <w:name w:val="iatalist-disc"/>
    <w:basedOn w:val="Normal"/>
    <w:pPr>
      <w:spacing w:before="100" w:beforeAutospacing="1" w:after="100" w:afterAutospacing="1"/>
    </w:pPr>
  </w:style>
  <w:style w:type="paragraph" w:customStyle="1" w:styleId="iatalist-circle">
    <w:name w:val="iatalist-circle"/>
    <w:basedOn w:val="Normal"/>
    <w:pPr>
      <w:spacing w:before="100" w:beforeAutospacing="1" w:after="100" w:afterAutospacing="1"/>
    </w:pPr>
  </w:style>
  <w:style w:type="paragraph" w:customStyle="1" w:styleId="iatalist-square">
    <w:name w:val="iatalist-square"/>
    <w:basedOn w:val="Normal"/>
    <w:pPr>
      <w:spacing w:before="100" w:beforeAutospacing="1" w:after="100" w:afterAutospacing="1"/>
    </w:pPr>
  </w:style>
  <w:style w:type="paragraph" w:customStyle="1" w:styleId="iatalist-alphabetical">
    <w:name w:val="iatalist-alphabetical"/>
    <w:basedOn w:val="Normal"/>
    <w:pPr>
      <w:spacing w:before="100" w:beforeAutospacing="1" w:after="100" w:afterAutospacing="1"/>
    </w:pPr>
  </w:style>
  <w:style w:type="paragraph" w:customStyle="1" w:styleId="iatalist-numerical">
    <w:name w:val="iatalist-numerical"/>
    <w:basedOn w:val="Normal"/>
    <w:pPr>
      <w:spacing w:before="100" w:beforeAutospacing="1" w:after="100" w:afterAutospacing="1"/>
    </w:pPr>
  </w:style>
  <w:style w:type="paragraph" w:customStyle="1" w:styleId="iatalist-lower-roman">
    <w:name w:val="iatalist-lower-roman"/>
    <w:basedOn w:val="Normal"/>
    <w:pPr>
      <w:spacing w:before="100" w:beforeAutospacing="1" w:after="100" w:afterAutospacing="1"/>
    </w:pPr>
  </w:style>
  <w:style w:type="paragraph" w:customStyle="1" w:styleId="iataresolutionnumber">
    <w:name w:val="iataresolutionnumber"/>
    <w:basedOn w:val="Normal"/>
    <w:pPr>
      <w:spacing w:before="100" w:beforeAutospacing="1" w:after="100" w:afterAutospacing="1"/>
    </w:pPr>
  </w:style>
  <w:style w:type="paragraph" w:customStyle="1" w:styleId="iatarecommendedpracticenumber">
    <w:name w:val="iatarecommendedpracticenumber"/>
    <w:basedOn w:val="Normal"/>
    <w:pPr>
      <w:spacing w:before="100" w:beforeAutospacing="1" w:after="100" w:afterAutospacing="1"/>
    </w:pPr>
  </w:style>
  <w:style w:type="paragraph" w:customStyle="1" w:styleId="iatatable1">
    <w:name w:val="iatatable1"/>
    <w:basedOn w:val="Normal"/>
    <w:pPr>
      <w:spacing w:before="90" w:after="100" w:afterAutospacing="1"/>
    </w:pPr>
  </w:style>
  <w:style w:type="paragraph" w:customStyle="1" w:styleId="iatah11">
    <w:name w:val="iatah11"/>
    <w:basedOn w:val="Normal"/>
    <w:pPr>
      <w:spacing w:before="300" w:after="100" w:afterAutospacing="1"/>
    </w:pPr>
    <w:rPr>
      <w:sz w:val="36"/>
      <w:szCs w:val="36"/>
    </w:rPr>
  </w:style>
  <w:style w:type="paragraph" w:customStyle="1" w:styleId="iatatable2">
    <w:name w:val="iatatable2"/>
    <w:basedOn w:val="Normal"/>
    <w:pPr>
      <w:spacing w:before="300" w:after="100" w:afterAutospacing="1"/>
    </w:pPr>
    <w:rPr>
      <w:sz w:val="22"/>
      <w:szCs w:val="22"/>
    </w:rPr>
  </w:style>
  <w:style w:type="paragraph" w:customStyle="1" w:styleId="iataresolutionnumber1">
    <w:name w:val="iataresolutionnumber1"/>
    <w:basedOn w:val="Normal"/>
    <w:pPr>
      <w:spacing w:before="100" w:beforeAutospacing="1" w:after="140"/>
    </w:pPr>
    <w:rPr>
      <w:b/>
      <w:bCs/>
      <w:sz w:val="36"/>
      <w:szCs w:val="36"/>
    </w:rPr>
  </w:style>
  <w:style w:type="paragraph" w:customStyle="1" w:styleId="iatarecommendedpracticenumber1">
    <w:name w:val="iatarecommendedpracticenumber1"/>
    <w:basedOn w:val="Normal"/>
    <w:pPr>
      <w:spacing w:before="100" w:beforeAutospacing="1" w:after="140"/>
    </w:pPr>
    <w:rPr>
      <w:b/>
      <w:bCs/>
      <w:sz w:val="36"/>
      <w:szCs w:val="36"/>
    </w:rPr>
  </w:style>
  <w:style w:type="paragraph" w:customStyle="1" w:styleId="iatasimplepara1">
    <w:name w:val="iatasimplepara1"/>
    <w:basedOn w:val="Normal"/>
    <w:pPr>
      <w:spacing w:before="180" w:after="45"/>
      <w:jc w:val="both"/>
      <w:textAlignment w:val="center"/>
    </w:pPr>
  </w:style>
  <w:style w:type="paragraph" w:customStyle="1" w:styleId="iataaddress1">
    <w:name w:val="iataaddress1"/>
    <w:basedOn w:val="Normal"/>
    <w:pPr>
      <w:spacing w:before="240" w:after="100" w:afterAutospacing="1"/>
      <w:jc w:val="center"/>
    </w:pPr>
  </w:style>
  <w:style w:type="paragraph" w:customStyle="1" w:styleId="iatamarginpara1">
    <w:name w:val="iatamarginpara1"/>
    <w:basedOn w:val="Normal"/>
    <w:pPr>
      <w:spacing w:before="150" w:after="150"/>
      <w:ind w:left="-450"/>
    </w:pPr>
    <w:rPr>
      <w:color w:val="008000"/>
      <w:sz w:val="19"/>
      <w:szCs w:val="19"/>
    </w:rPr>
  </w:style>
  <w:style w:type="paragraph" w:customStyle="1" w:styleId="iataimgblock1">
    <w:name w:val="iataimgblock1"/>
    <w:basedOn w:val="Normal"/>
    <w:pPr>
      <w:spacing w:after="100" w:afterAutospacing="1"/>
    </w:pPr>
  </w:style>
  <w:style w:type="paragraph" w:customStyle="1" w:styleId="iatapara1">
    <w:name w:val="iatapara1"/>
    <w:basedOn w:val="Normal"/>
    <w:pPr>
      <w:spacing w:after="90"/>
    </w:pPr>
  </w:style>
  <w:style w:type="paragraph" w:customStyle="1" w:styleId="iatapara2">
    <w:name w:val="iatapara2"/>
    <w:basedOn w:val="Normal"/>
    <w:pPr>
      <w:spacing w:after="90"/>
    </w:pPr>
  </w:style>
  <w:style w:type="paragraph" w:customStyle="1" w:styleId="iatalist1">
    <w:name w:val="iatalist1"/>
    <w:basedOn w:val="Normal"/>
    <w:pPr>
      <w:spacing w:after="100" w:afterAutospacing="1"/>
    </w:pPr>
  </w:style>
  <w:style w:type="paragraph" w:customStyle="1" w:styleId="iatafigurecaption1">
    <w:name w:val="iatafigurecaption1"/>
    <w:basedOn w:val="Normal"/>
    <w:pPr>
      <w:spacing w:before="100" w:beforeAutospacing="1" w:after="100" w:afterAutospacing="1"/>
    </w:pPr>
    <w:rPr>
      <w:b/>
      <w:bCs/>
      <w:i/>
      <w:iCs/>
    </w:rPr>
  </w:style>
  <w:style w:type="character" w:customStyle="1" w:styleId="iatatitle1">
    <w:name w:val="iatatitle1"/>
    <w:basedOn w:val="DefaultParagraphFont"/>
    <w:rPr>
      <w:vanish w:val="0"/>
      <w:webHidden w:val="0"/>
      <w:specVanish w:val="0"/>
    </w:rPr>
  </w:style>
  <w:style w:type="character" w:customStyle="1" w:styleId="iatacatalog1">
    <w:name w:val="iatacatalog1"/>
    <w:basedOn w:val="DefaultParagraphFont"/>
    <w:rPr>
      <w:vanish w:val="0"/>
      <w:webHidden w:val="0"/>
      <w:specVanish w:val="0"/>
    </w:rPr>
  </w:style>
  <w:style w:type="character" w:customStyle="1" w:styleId="iatadate1">
    <w:name w:val="iatadate1"/>
    <w:basedOn w:val="DefaultParagraphFont"/>
    <w:rPr>
      <w:vanish w:val="0"/>
      <w:webHidden w:val="0"/>
      <w:specVanish w:val="0"/>
    </w:rPr>
  </w:style>
  <w:style w:type="character" w:customStyle="1" w:styleId="iatacopyrightedbyname">
    <w:name w:val="iatacopyrightedbyname"/>
    <w:basedOn w:val="DefaultParagraphFont"/>
  </w:style>
  <w:style w:type="character" w:customStyle="1" w:styleId="iatapublishersrights">
    <w:name w:val="iatapublishersrights"/>
    <w:basedOn w:val="DefaultParagraphFont"/>
  </w:style>
  <w:style w:type="character" w:customStyle="1" w:styleId="iatapublisherlocation">
    <w:name w:val="iatapublisherlocation"/>
    <w:basedOn w:val="DefaultParagraphFont"/>
  </w:style>
  <w:style w:type="paragraph" w:styleId="NormalWeb">
    <w:name w:val="Normal (Web)"/>
    <w:basedOn w:val="Normal"/>
    <w:uiPriority w:val="99"/>
    <w:semiHidden/>
    <w:unhideWhenUsed/>
    <w:pPr>
      <w:spacing w:before="100" w:beforeAutospacing="1" w:after="100" w:afterAutospacing="1"/>
    </w:p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paragraph" w:styleId="Header">
    <w:name w:val="header"/>
    <w:basedOn w:val="Normal"/>
    <w:link w:val="HeaderChar"/>
    <w:uiPriority w:val="99"/>
    <w:unhideWhenUsed/>
    <w:rsid w:val="005B2012"/>
    <w:pPr>
      <w:tabs>
        <w:tab w:val="center" w:pos="4680"/>
        <w:tab w:val="right" w:pos="9360"/>
      </w:tabs>
    </w:pPr>
  </w:style>
  <w:style w:type="character" w:customStyle="1" w:styleId="HeaderChar">
    <w:name w:val="Header Char"/>
    <w:basedOn w:val="DefaultParagraphFont"/>
    <w:link w:val="Header"/>
    <w:uiPriority w:val="99"/>
    <w:rsid w:val="005B2012"/>
    <w:rPr>
      <w:rFonts w:eastAsiaTheme="minorEastAsia"/>
      <w:sz w:val="24"/>
      <w:szCs w:val="24"/>
    </w:rPr>
  </w:style>
  <w:style w:type="paragraph" w:styleId="Footer">
    <w:name w:val="footer"/>
    <w:basedOn w:val="Normal"/>
    <w:link w:val="FooterChar"/>
    <w:uiPriority w:val="99"/>
    <w:unhideWhenUsed/>
    <w:rsid w:val="005B2012"/>
    <w:pPr>
      <w:tabs>
        <w:tab w:val="center" w:pos="4680"/>
        <w:tab w:val="right" w:pos="9360"/>
      </w:tabs>
    </w:pPr>
  </w:style>
  <w:style w:type="character" w:customStyle="1" w:styleId="FooterChar">
    <w:name w:val="Footer Char"/>
    <w:basedOn w:val="DefaultParagraphFont"/>
    <w:link w:val="Footer"/>
    <w:uiPriority w:val="99"/>
    <w:rsid w:val="005B2012"/>
    <w:rPr>
      <w:rFonts w:eastAsiaTheme="minorEastAsia"/>
      <w:sz w:val="24"/>
      <w:szCs w:val="24"/>
    </w:rPr>
  </w:style>
  <w:style w:type="table" w:styleId="TableGrid">
    <w:name w:val="Table Grid"/>
    <w:basedOn w:val="TableNormal"/>
    <w:uiPriority w:val="39"/>
    <w:rsid w:val="005B20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5639330">
      <w:marLeft w:val="0"/>
      <w:marRight w:val="0"/>
      <w:marTop w:val="0"/>
      <w:marBottom w:val="0"/>
      <w:divBdr>
        <w:top w:val="none" w:sz="0" w:space="0" w:color="auto"/>
        <w:left w:val="none" w:sz="0" w:space="0" w:color="auto"/>
        <w:bottom w:val="none" w:sz="0" w:space="0" w:color="auto"/>
        <w:right w:val="none" w:sz="0" w:space="0" w:color="auto"/>
      </w:divBdr>
      <w:divsChild>
        <w:div w:id="777140402">
          <w:marLeft w:val="2520"/>
          <w:marRight w:val="2520"/>
          <w:marTop w:val="975"/>
          <w:marBottom w:val="0"/>
          <w:divBdr>
            <w:top w:val="single" w:sz="6" w:space="9" w:color="000000"/>
            <w:left w:val="single" w:sz="6" w:space="9" w:color="000000"/>
            <w:bottom w:val="single" w:sz="6" w:space="9" w:color="000000"/>
            <w:right w:val="single" w:sz="6" w:space="9" w:color="000000"/>
          </w:divBdr>
          <w:divsChild>
            <w:div w:id="1377198725">
              <w:marLeft w:val="0"/>
              <w:marRight w:val="0"/>
              <w:marTop w:val="0"/>
              <w:marBottom w:val="0"/>
              <w:divBdr>
                <w:top w:val="none" w:sz="0" w:space="0" w:color="auto"/>
                <w:left w:val="none" w:sz="0" w:space="0" w:color="auto"/>
                <w:bottom w:val="none" w:sz="0" w:space="0" w:color="auto"/>
                <w:right w:val="none" w:sz="0" w:space="0" w:color="auto"/>
              </w:divBdr>
            </w:div>
            <w:div w:id="832525403">
              <w:marLeft w:val="0"/>
              <w:marRight w:val="0"/>
              <w:marTop w:val="180"/>
              <w:marBottom w:val="45"/>
              <w:divBdr>
                <w:top w:val="none" w:sz="0" w:space="0" w:color="auto"/>
                <w:left w:val="none" w:sz="0" w:space="0" w:color="auto"/>
                <w:bottom w:val="none" w:sz="0" w:space="0" w:color="auto"/>
                <w:right w:val="none" w:sz="0" w:space="0" w:color="auto"/>
              </w:divBdr>
            </w:div>
            <w:div w:id="545945920">
              <w:marLeft w:val="0"/>
              <w:marRight w:val="0"/>
              <w:marTop w:val="180"/>
              <w:marBottom w:val="45"/>
              <w:divBdr>
                <w:top w:val="none" w:sz="0" w:space="0" w:color="auto"/>
                <w:left w:val="none" w:sz="0" w:space="0" w:color="auto"/>
                <w:bottom w:val="none" w:sz="0" w:space="0" w:color="auto"/>
                <w:right w:val="none" w:sz="0" w:space="0" w:color="auto"/>
              </w:divBdr>
              <w:divsChild>
                <w:div w:id="904610932">
                  <w:marLeft w:val="0"/>
                  <w:marRight w:val="0"/>
                  <w:marTop w:val="240"/>
                  <w:marBottom w:val="0"/>
                  <w:divBdr>
                    <w:top w:val="none" w:sz="0" w:space="0" w:color="auto"/>
                    <w:left w:val="none" w:sz="0" w:space="0" w:color="auto"/>
                    <w:bottom w:val="none" w:sz="0" w:space="0" w:color="auto"/>
                    <w:right w:val="none" w:sz="0" w:space="0" w:color="auto"/>
                  </w:divBdr>
                  <w:divsChild>
                    <w:div w:id="1496336551">
                      <w:marLeft w:val="0"/>
                      <w:marRight w:val="0"/>
                      <w:marTop w:val="0"/>
                      <w:marBottom w:val="0"/>
                      <w:divBdr>
                        <w:top w:val="none" w:sz="0" w:space="0" w:color="auto"/>
                        <w:left w:val="none" w:sz="0" w:space="0" w:color="auto"/>
                        <w:bottom w:val="none" w:sz="0" w:space="0" w:color="auto"/>
                        <w:right w:val="none" w:sz="0" w:space="0" w:color="auto"/>
                      </w:divBdr>
                    </w:div>
                    <w:div w:id="1024747728">
                      <w:marLeft w:val="0"/>
                      <w:marRight w:val="0"/>
                      <w:marTop w:val="0"/>
                      <w:marBottom w:val="0"/>
                      <w:divBdr>
                        <w:top w:val="none" w:sz="0" w:space="0" w:color="auto"/>
                        <w:left w:val="none" w:sz="0" w:space="0" w:color="auto"/>
                        <w:bottom w:val="none" w:sz="0" w:space="0" w:color="auto"/>
                        <w:right w:val="none" w:sz="0" w:space="0" w:color="auto"/>
                      </w:divBdr>
                    </w:div>
                    <w:div w:id="217320822">
                      <w:marLeft w:val="0"/>
                      <w:marRight w:val="0"/>
                      <w:marTop w:val="0"/>
                      <w:marBottom w:val="0"/>
                      <w:divBdr>
                        <w:top w:val="none" w:sz="0" w:space="0" w:color="auto"/>
                        <w:left w:val="none" w:sz="0" w:space="0" w:color="auto"/>
                        <w:bottom w:val="none" w:sz="0" w:space="0" w:color="auto"/>
                        <w:right w:val="none" w:sz="0" w:space="0" w:color="auto"/>
                      </w:divBdr>
                      <w:divsChild>
                        <w:div w:id="243102405">
                          <w:marLeft w:val="0"/>
                          <w:marRight w:val="0"/>
                          <w:marTop w:val="0"/>
                          <w:marBottom w:val="0"/>
                          <w:divBdr>
                            <w:top w:val="none" w:sz="0" w:space="0" w:color="auto"/>
                            <w:left w:val="none" w:sz="0" w:space="0" w:color="auto"/>
                            <w:bottom w:val="none" w:sz="0" w:space="0" w:color="auto"/>
                            <w:right w:val="none" w:sz="0" w:space="0" w:color="auto"/>
                          </w:divBdr>
                        </w:div>
                      </w:divsChild>
                    </w:div>
                    <w:div w:id="1207522968">
                      <w:marLeft w:val="0"/>
                      <w:marRight w:val="0"/>
                      <w:marTop w:val="0"/>
                      <w:marBottom w:val="0"/>
                      <w:divBdr>
                        <w:top w:val="none" w:sz="0" w:space="0" w:color="auto"/>
                        <w:left w:val="none" w:sz="0" w:space="0" w:color="auto"/>
                        <w:bottom w:val="none" w:sz="0" w:space="0" w:color="auto"/>
                        <w:right w:val="none" w:sz="0" w:space="0" w:color="auto"/>
                      </w:divBdr>
                      <w:divsChild>
                        <w:div w:id="1847860374">
                          <w:marLeft w:val="0"/>
                          <w:marRight w:val="0"/>
                          <w:marTop w:val="0"/>
                          <w:marBottom w:val="0"/>
                          <w:divBdr>
                            <w:top w:val="none" w:sz="0" w:space="0" w:color="auto"/>
                            <w:left w:val="none" w:sz="0" w:space="0" w:color="auto"/>
                            <w:bottom w:val="none" w:sz="0" w:space="0" w:color="auto"/>
                            <w:right w:val="none" w:sz="0" w:space="0" w:color="auto"/>
                          </w:divBdr>
                        </w:div>
                        <w:div w:id="988095528">
                          <w:marLeft w:val="0"/>
                          <w:marRight w:val="0"/>
                          <w:marTop w:val="0"/>
                          <w:marBottom w:val="0"/>
                          <w:divBdr>
                            <w:top w:val="none" w:sz="0" w:space="0" w:color="auto"/>
                            <w:left w:val="none" w:sz="0" w:space="0" w:color="auto"/>
                            <w:bottom w:val="none" w:sz="0" w:space="0" w:color="auto"/>
                            <w:right w:val="none" w:sz="0" w:space="0" w:color="auto"/>
                          </w:divBdr>
                        </w:div>
                        <w:div w:id="475875864">
                          <w:marLeft w:val="0"/>
                          <w:marRight w:val="0"/>
                          <w:marTop w:val="0"/>
                          <w:marBottom w:val="0"/>
                          <w:divBdr>
                            <w:top w:val="none" w:sz="0" w:space="0" w:color="auto"/>
                            <w:left w:val="none" w:sz="0" w:space="0" w:color="auto"/>
                            <w:bottom w:val="none" w:sz="0" w:space="0" w:color="auto"/>
                            <w:right w:val="none" w:sz="0" w:space="0" w:color="auto"/>
                          </w:divBdr>
                        </w:div>
                        <w:div w:id="161743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704794">
          <w:marLeft w:val="0"/>
          <w:marRight w:val="0"/>
          <w:marTop w:val="600"/>
          <w:marBottom w:val="0"/>
          <w:divBdr>
            <w:top w:val="none" w:sz="0" w:space="0" w:color="auto"/>
            <w:left w:val="none" w:sz="0" w:space="0" w:color="auto"/>
            <w:bottom w:val="none" w:sz="0" w:space="0" w:color="auto"/>
            <w:right w:val="none" w:sz="0" w:space="0" w:color="auto"/>
          </w:divBdr>
          <w:divsChild>
            <w:div w:id="391579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unicod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232</Words>
  <Characters>1327</Characters>
  <Application>Microsoft Office Word</Application>
  <DocSecurity>0</DocSecurity>
  <Lines>11</Lines>
  <Paragraphs>3</Paragraphs>
  <ScaleCrop>false</ScaleCrop>
  <Company/>
  <LinksUpToDate>false</LinksUpToDate>
  <CharactersWithSpaces>1556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ISM Sixteenth Edition</dc:title>
  <dc:subject/>
  <dc:creator>Mickael Pallier</dc:creator>
  <cp:keywords/>
  <dc:description/>
  <cp:lastModifiedBy>Gonzalo Castro</cp:lastModifiedBy>
  <cp:revision>5</cp:revision>
  <dcterms:created xsi:type="dcterms:W3CDTF">2024-04-18T19:41:00Z</dcterms:created>
  <dcterms:modified xsi:type="dcterms:W3CDTF">2024-04-19T20:35:00Z</dcterms:modified>
</cp:coreProperties>
</file>